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861" w:type="dxa"/>
        <w:tblInd w:w="20" w:type="dxa"/>
        <w:tblLayout w:type="fixed"/>
        <w:tblLook w:val="01E0"/>
      </w:tblPr>
      <w:tblGrid>
        <w:gridCol w:w="10861"/>
      </w:tblGrid>
      <w:tr w:rsidR="00AE2BD5" w:rsidTr="00663439">
        <w:trPr>
          <w:tblHeader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BD5" w:rsidRDefault="00AE2BD5" w:rsidP="00A56A57"/>
        </w:tc>
      </w:tr>
      <w:tr w:rsidR="00B33398" w:rsidTr="006A475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Tr="006A4759">
              <w:trPr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6A4759">
                  <w:pPr>
                    <w:jc w:val="center"/>
                  </w:pPr>
                  <w:bookmarkStart w:id="0" w:name="__bookmark_1"/>
                  <w:bookmarkEnd w:id="0"/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 xml:space="preserve">ATA DE REGISTRO DE PREÇOS: </w:t>
                  </w:r>
                  <w:r w:rsidR="006A4759"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____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/2024</w:t>
                  </w:r>
                </w:p>
              </w:tc>
            </w:tr>
          </w:tbl>
          <w:p w:rsidR="00B33398" w:rsidRDefault="00B33398" w:rsidP="00B33398">
            <w:pPr>
              <w:tabs>
                <w:tab w:val="left" w:pos="4011"/>
              </w:tabs>
            </w:pPr>
          </w:p>
          <w:p w:rsidR="00B33398" w:rsidRPr="00B33398" w:rsidRDefault="00B33398" w:rsidP="00B33398"/>
        </w:tc>
      </w:tr>
      <w:tr w:rsidR="00B33398" w:rsidTr="00663439">
        <w:trPr>
          <w:trHeight w:hRule="exact" w:val="495"/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398" w:rsidRDefault="00B33398" w:rsidP="006A475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Tr="006A4759">
              <w:trPr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6A4759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PREGÃO ELETRÔNICO Nº </w:t>
                  </w:r>
                  <w:r w:rsidR="006A4759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053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/2024</w:t>
                  </w:r>
                </w:p>
              </w:tc>
            </w:tr>
          </w:tbl>
          <w:p w:rsidR="00B33398" w:rsidRDefault="00B33398" w:rsidP="006A4759"/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6A4759">
                  <w:pPr>
                    <w:jc w:val="both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A4759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 MUNICÍPIO DE SAPUCAIA</w:t>
                  </w:r>
                  <w:r w:rsidRPr="006A4759">
                    <w:rPr>
                      <w:rFonts w:ascii="Arial" w:eastAsia="Arial" w:hAnsi="Arial" w:cs="Arial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A4759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DO SUL</w:t>
                  </w:r>
                  <w:r w:rsidRPr="006A475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, pessoa jurídica de direito público, situado na Avenida - 1289, SANTA CATARINA, Sapucaia do Sul - RS, inscrito no CNPJ Nº. 88.185.020/0001-25, abaixo assinado, nos termos do artigo 40 da Lei Federal nº. 14.133/2021 e alterações e das demais normas legais aplicáveis, em face da classificação das propostas apresentadas para o SISTEMA DE REGISTRO DE PREÇOS da licitação Pregão Eletrônico Nº. </w:t>
                  </w:r>
                  <w:r w:rsidR="006A4759" w:rsidRPr="006A475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053</w:t>
                  </w:r>
                  <w:r w:rsidRPr="006A475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/2024</w:t>
                  </w:r>
                  <w:proofErr w:type="gramStart"/>
                  <w:r w:rsidRPr="006A475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 RESOLVE</w:t>
                  </w:r>
                  <w:proofErr w:type="gramEnd"/>
                  <w:r w:rsidRPr="006A475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registrar os valores oferecidos para </w:t>
                  </w:r>
                  <w:r w:rsidRPr="006A4759">
                    <w:rPr>
                      <w:rFonts w:ascii="Arial" w:eastAsia="Arial" w:hAnsi="Arial" w:cs="Arial"/>
                      <w:b/>
                      <w:caps/>
                      <w:sz w:val="16"/>
                      <w:szCs w:val="16"/>
                    </w:rPr>
                    <w:t xml:space="preserve">REGISTRO DE PREÇOS VISANDO A FUTURA E EVENTUAL </w:t>
                  </w:r>
                  <w:r w:rsidR="006A4759" w:rsidRPr="006A4759">
                    <w:rPr>
                      <w:rFonts w:ascii="Arial" w:hAnsi="Arial" w:cs="Arial"/>
                      <w:b/>
                      <w:bCs/>
                      <w:caps/>
                      <w:sz w:val="16"/>
                      <w:szCs w:val="16"/>
                    </w:rPr>
                    <w:t>contratação de empresa especializada em comunicação de dados, com prestação de serviço continuo com pagamento mensal por período inicial de 12 meses, o serviço deverá cobrir a comunicação de todas as unidades administrativas do Município de Sapucaia do Sul - RS</w:t>
                  </w:r>
                  <w:r w:rsidRPr="006A475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 pelo período de 12 meses, conforme consta no Anexo IV do Edital da referida licitação, que passa a fazer parte desta Ata, tendo sido, os referidos valores, oferecidos pelas empresas cujas propostas foram classificadas no certame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  <w:bookmarkStart w:id="1" w:name="__bookmark_2"/>
            <w:bookmarkEnd w:id="1"/>
          </w:p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 - DO OBJETO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6A4759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CONTRATAÇÃO: REGISTRO </w:t>
                  </w:r>
                  <w:r w:rsidRPr="00A56A57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DE PREÇOS VISANDO A FUTURA E EVENTUAL </w:t>
                  </w:r>
                  <w:r w:rsidR="006A4759" w:rsidRPr="006A4759">
                    <w:rPr>
                      <w:rFonts w:ascii="Arial" w:hAnsi="Arial" w:cs="Arial"/>
                      <w:b/>
                      <w:bCs/>
                      <w:caps/>
                      <w:sz w:val="16"/>
                      <w:szCs w:val="16"/>
                    </w:rPr>
                    <w:t>contratação de empresa especializada em comunicação de dados, com prestação de serviço continuo com pagamento mensal por período inicial de 12 meses, o serviço deverá cobrir a comunicação de todas as unidades administrativas do Município de Sapucaia do Sul - RS</w:t>
                  </w:r>
                  <w:r w:rsidRPr="00A56A5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 com prazo de até 12 meses podendo ser prorrogada por igual período a partir da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assinatura do presente ata</w:t>
                  </w:r>
                  <w:r w:rsidRPr="00A56A5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através do Sistema de Registro de Preços, para uso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do(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a) MUNICÍPIO DE SAPUCAIA DO SUL, de acordo com as especificações e quantitativos abaixo estimados: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  <w:bookmarkStart w:id="2" w:name="__bookmark_3"/>
            <w:bookmarkEnd w:id="2"/>
          </w:p>
          <w:tbl>
            <w:tblPr>
              <w:tblOverlap w:val="never"/>
              <w:tblW w:w="10563" w:type="dxa"/>
              <w:tblInd w:w="20" w:type="dxa"/>
              <w:tblLayout w:type="fixed"/>
              <w:tblLook w:val="01E0"/>
            </w:tblPr>
            <w:tblGrid>
              <w:gridCol w:w="782"/>
              <w:gridCol w:w="3419"/>
              <w:gridCol w:w="993"/>
              <w:gridCol w:w="888"/>
              <w:gridCol w:w="1353"/>
              <w:gridCol w:w="1564"/>
              <w:gridCol w:w="1564"/>
            </w:tblGrid>
            <w:tr w:rsidR="00B33398" w:rsidTr="00B33398">
              <w:trPr>
                <w:trHeight w:val="230"/>
              </w:trPr>
              <w:tc>
                <w:tcPr>
                  <w:tcW w:w="10563" w:type="dxa"/>
                  <w:gridSpan w:val="7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3" w:name="_TocTECNISAN_SISTEMAS_OPERACIONAIS_DE_SA"/>
                <w:bookmarkEnd w:id="3"/>
                <w:p w:rsidR="00B33398" w:rsidRDefault="00D47DA5">
                  <w:pPr>
                    <w:rPr>
                      <w:vanish/>
                    </w:rPr>
                  </w:pPr>
                  <w:r>
                    <w:fldChar w:fldCharType="begin"/>
                  </w:r>
                  <w:r w:rsidR="00B33398">
                    <w:instrText xml:space="preserve"> TC "TECNISAN SISTEMAS OPERACIONAIS DE SANEAMENTO" \f C \l "1"</w:instrText>
                  </w:r>
                  <w:r>
                    <w:fldChar w:fldCharType="end"/>
                  </w:r>
                </w:p>
                <w:tbl>
                  <w:tblPr>
                    <w:tblOverlap w:val="never"/>
                    <w:tblW w:w="10603" w:type="dxa"/>
                    <w:shd w:val="clear" w:color="auto" w:fill="E0E0E0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603"/>
                  </w:tblGrid>
                  <w:tr w:rsidR="00B33398">
                    <w:tc>
                      <w:tcPr>
                        <w:tcW w:w="10603" w:type="dxa"/>
                        <w:shd w:val="clear" w:color="auto" w:fill="E0E0E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3398" w:rsidRDefault="00B33398" w:rsidP="00B33398">
                        <w:pPr>
                          <w:jc w:val="both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Fornecedor: </w:t>
                        </w:r>
                      </w:p>
                    </w:tc>
                  </w:tr>
                </w:tbl>
                <w:p w:rsidR="00B33398" w:rsidRDefault="00B33398">
                  <w:pPr>
                    <w:spacing w:line="1" w:lineRule="auto"/>
                  </w:pPr>
                </w:p>
              </w:tc>
            </w:tr>
            <w:tr w:rsidR="00B33398" w:rsidTr="00B33398">
              <w:trPr>
                <w:trHeight w:val="230"/>
                <w:hidden/>
              </w:trPr>
              <w:tc>
                <w:tcPr>
                  <w:tcW w:w="10563" w:type="dxa"/>
                  <w:gridSpan w:val="7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rPr>
                      <w:vanish/>
                    </w:rPr>
                  </w:pPr>
                </w:p>
                <w:p w:rsidR="00B33398" w:rsidRDefault="00B33398">
                  <w:pPr>
                    <w:spacing w:line="1" w:lineRule="auto"/>
                  </w:pPr>
                </w:p>
              </w:tc>
            </w:tr>
            <w:tr w:rsidR="00B33398" w:rsidTr="00B33398">
              <w:trPr>
                <w:trHeight w:val="184"/>
              </w:trPr>
              <w:tc>
                <w:tcPr>
                  <w:tcW w:w="78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341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135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Quantidade</w:t>
                  </w:r>
                </w:p>
              </w:tc>
              <w:tc>
                <w:tcPr>
                  <w:tcW w:w="3128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Valor</w:t>
                  </w:r>
                </w:p>
              </w:tc>
            </w:tr>
            <w:tr w:rsidR="00B33398" w:rsidTr="00B33398">
              <w:trPr>
                <w:trHeight w:val="1"/>
              </w:trPr>
              <w:tc>
                <w:tcPr>
                  <w:tcW w:w="78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spacing w:line="1" w:lineRule="auto"/>
                  </w:pPr>
                </w:p>
              </w:tc>
              <w:tc>
                <w:tcPr>
                  <w:tcW w:w="341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spacing w:line="1" w:lineRule="auto"/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spacing w:line="1" w:lineRule="auto"/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spacing w:line="1" w:lineRule="auto"/>
                  </w:pPr>
                </w:p>
              </w:tc>
              <w:tc>
                <w:tcPr>
                  <w:tcW w:w="135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spacing w:line="1" w:lineRule="auto"/>
                  </w:pP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Unitário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</w:tr>
            <w:tr w:rsidR="00B33398" w:rsidTr="00B33398">
              <w:tc>
                <w:tcPr>
                  <w:tcW w:w="7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341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UN.</w:t>
                  </w:r>
                </w:p>
              </w:tc>
              <w:tc>
                <w:tcPr>
                  <w:tcW w:w="135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33398" w:rsidTr="00B33398">
              <w:tc>
                <w:tcPr>
                  <w:tcW w:w="7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34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UN.</w:t>
                  </w:r>
                </w:p>
              </w:tc>
              <w:tc>
                <w:tcPr>
                  <w:tcW w:w="13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33398" w:rsidTr="00B33398">
              <w:trPr>
                <w:trHeight w:val="184"/>
              </w:trPr>
              <w:tc>
                <w:tcPr>
                  <w:tcW w:w="8999" w:type="dxa"/>
                  <w:gridSpan w:val="6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Total do Fornecedor: 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33398" w:rsidTr="00B33398">
              <w:trPr>
                <w:trHeight w:val="184"/>
              </w:trPr>
              <w:tc>
                <w:tcPr>
                  <w:tcW w:w="8999" w:type="dxa"/>
                  <w:gridSpan w:val="6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Total Geral dos Itens: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II - DA VALIDADE DOS PREÇOS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8A65CC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2. A presente Ata de Registro de Preços terá validade de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ano, contados a partir da sua assinatura.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2.1. Durante o prazo de validade desta Ata de Registro de Preços, o Município não será obrigado a contratar o objeto referido na Cláusula I exclusivamente pelo Sistema de Registro de Preços, podendo fazê-lo através de outra licitação quando julgar conveniente, sem que caiba recurso ou indenização de qualquer espécie às empresas detentoras, ou, cancelar a Ata, na ocorrência de alguma das hipóteses legalmente previstas para tanto, garantida à detentora, neste caso, o contraditório e a ampla defesa. 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III - DA UTILIZAÇÃO DA ATA DE REGISTRO DE PREÇOS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3.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 presente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Ata de Registro de Preços será usado pelo (a) MUNICÍPIO DE SAPUCAIA DO SUL, que será o órgão gerenciador da presente Ata de Registro de Preços.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6A4759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3.1. O valor ofertado pelas empresas signatárias da presente Ata de Registro de Preços é o relacionado na Cláusula Primeira, de acordo com a respectiva classificação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no(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a)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Pregão Eletrônico Nº. </w:t>
                  </w:r>
                  <w:r w:rsidR="006A4759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053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/2024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6A4759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3.2. Em cada fornecimento de serviço(s) decorrente desta Ata, serão observadas as cláusulas e condições constantes do Edital de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Pregão Eletrônico Nº. </w:t>
                  </w:r>
                  <w:r w:rsidR="006A4759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053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/2024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e seus Anexos, que a precederam e integram o presente instrumento de compromisso.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IV - DO PAGAMENTO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4.1. Do Recurso Financeiro - As despesas decorrentes do presente Contrato serão efetuadas à conta do seguinte recurso financeiro: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571" w:type="dxa"/>
              <w:tblInd w:w="20" w:type="dxa"/>
              <w:tblLayout w:type="fixed"/>
              <w:tblLook w:val="01E0"/>
            </w:tblPr>
            <w:tblGrid>
              <w:gridCol w:w="951"/>
              <w:gridCol w:w="951"/>
              <w:gridCol w:w="950"/>
              <w:gridCol w:w="950"/>
              <w:gridCol w:w="4233"/>
              <w:gridCol w:w="2536"/>
            </w:tblGrid>
            <w:tr w:rsidR="00B33398" w:rsidTr="006A4759">
              <w:trPr>
                <w:trHeight w:val="184"/>
                <w:tblHeader/>
              </w:trPr>
              <w:tc>
                <w:tcPr>
                  <w:tcW w:w="10571" w:type="dxa"/>
                  <w:gridSpan w:val="6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shd w:val="clear" w:color="auto" w:fill="E0E0E0"/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4" w:name="__bookmark_4"/>
                  <w:bookmarkEnd w:id="4"/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Dotação Orçamentária</w:t>
                  </w:r>
                </w:p>
              </w:tc>
            </w:tr>
            <w:tr w:rsidR="00B33398" w:rsidTr="006A4759">
              <w:trPr>
                <w:tblHeader/>
              </w:trPr>
              <w:tc>
                <w:tcPr>
                  <w:tcW w:w="9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Dotação</w:t>
                  </w:r>
                </w:p>
              </w:tc>
              <w:tc>
                <w:tcPr>
                  <w:tcW w:w="9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Órgao</w:t>
                  </w:r>
                  <w:proofErr w:type="spellEnd"/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Ação</w:t>
                  </w:r>
                </w:p>
              </w:tc>
              <w:tc>
                <w:tcPr>
                  <w:tcW w:w="42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Elemento</w:t>
                  </w:r>
                </w:p>
              </w:tc>
              <w:tc>
                <w:tcPr>
                  <w:tcW w:w="25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Vínculo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CLÁUSULA V - DAS CONDIÇÕES DE FORNECIMENTO, LOCAL E PRAZO DE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ENTREGA</w:t>
            </w:r>
            <w:proofErr w:type="gramEnd"/>
          </w:p>
        </w:tc>
      </w:tr>
      <w:tr w:rsidR="00B33398" w:rsidRPr="008A65CC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8A65CC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8A65CC" w:rsidRDefault="00B33398">
                  <w:pPr>
                    <w:jc w:val="both"/>
                  </w:pPr>
                  <w:r w:rsidRPr="008A65CC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5. Os itens licitados deverão ser entregue se dentro do mesmo período deverá estar apta a entregar o material assim que for </w:t>
                  </w:r>
                  <w:proofErr w:type="gramStart"/>
                  <w:r w:rsidRPr="008A65CC">
                    <w:rPr>
                      <w:rFonts w:ascii="Arial" w:eastAsia="Arial" w:hAnsi="Arial" w:cs="Arial"/>
                      <w:sz w:val="16"/>
                      <w:szCs w:val="16"/>
                    </w:rPr>
                    <w:t>assinado</w:t>
                  </w:r>
                  <w:proofErr w:type="gramEnd"/>
                  <w:r w:rsidRPr="008A65CC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a ata de registro de preço, </w:t>
                  </w:r>
                  <w:r w:rsidRPr="008A65CC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independente da quantidade solicitada</w:t>
                  </w:r>
                  <w:r w:rsidRPr="008A65CC">
                    <w:rPr>
                      <w:rFonts w:ascii="Arial" w:eastAsia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B33398" w:rsidRPr="008A65CC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5.1. Local de entrega: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VI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- DAS PENALIDADES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 A recusa injustificada da empresa com proposta classificada na licitação e indicada para registro dos respectivos preços ensejará a aplicação das penalidades enunciadas no artigo 156 da Lei Federal nº. 14.133/2021 e alterações.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6.1.1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Impedimento para registro na Ata, se concluída a fase licitatória;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6.1.2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Cancelamento do registro na Ata;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6.1.3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Advertência e anotação restritiva no Cadastro de Fornecedores;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6.1.4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Multa de 10% (dez por cento) do valor estimado da contratação;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6.1.5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Suspensão temporária do direito de licitar ou de contratar com a Administração Pública, pelo prazo de até 05 (cinco) anos ou enquanto perdurarem os motivos determinantes da punição ou, ainda, até que seja promovida a reabilitação perante a autoridade que aplicou a penalidade.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6.1.6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Declaração de inidoneidade para licitar ou contratar com a Administração Pública.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6.2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 aplicação das penalidades ocorrerá depois de defesa prévia do interessado, no prazo estabelecido na Lei de Licitações, a contar da intimação do ato.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6.3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Não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será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aplicada multa se, comprovadamente, o atraso do atendimento, advir de caso fortuito ou motivo de força maior.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 descumprimento total ou parcial das obrigações assumidas pelo fornecedor no momento da execução da Ata de Registro de Preços, sem justificativa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aceita pelo órgão ou entidade usuária, resguardados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os procedimentos legais pertinentes, poderá acarretar, isolada ou cumulativamente, nas seguintes sanções: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6.4.1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Advertência;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6.4.2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Multa de 10% (dez por cento) sobre o valor estimado total do contrato, em caso de recusa do 1.º colocada de cada item em assinar a Ata de Registro de Preços.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6.4.3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Multa de 10% (dez por cento) por dia de inadimplência, até o trigésimo dia de fornecimento incompleto ou em atraso, incidentes sobre o valor estimado mensal da contratação, além do desconto do valor correspondente ao serviço não realizado pela detentora da Ata.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6.4.4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Suspensão temporária do direito de participar de licitação e de fornecer à Administração Pública, por prazo de até 05 (cinco) anos;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6.5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Em qualquer hipótese de aplicação de penalidades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será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assegurado ao fornecedor o contraditório e ampla defesa.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6.6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 aplicação das sanções previstas nesta Ata não exclui a possibilidade de aplicação de outras, previstas em Lei, inclusive responsabilização do fornecedor por eventuais perdas e danos causados à Administração.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6.7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As importâncias relativas a multas serão descontadas dos pagamentos a serem efetuados à detentora da Ata, podendo, entretanto, conforme o caso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 processar-se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 cobrança judicialmente.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6.8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As penalidades serão aplicadas sem prejuízo das demais sanções cabíveis, sejam estas administrativas ou penais, previstas na Lei nº. 14.133/2021 e alterações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VII - DO REAJUSTAMENTO DE PREÇOS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7. Considerando o disposto no artigo 82, §5º, inciso IV e artigo 84 da Lei 14.133/2021, em caso de eventual prorrogação da vigência da presente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ata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 registros de preços, os preços poderão ser atualizados com base no acumulado do índice </w:t>
            </w:r>
            <w:r w:rsidRPr="00A56A57">
              <w:rPr>
                <w:rFonts w:ascii="Arial" w:eastAsia="Arial" w:hAnsi="Arial" w:cs="Arial"/>
                <w:color w:val="000000"/>
                <w:sz w:val="16"/>
                <w:szCs w:val="16"/>
              </w:rPr>
              <w:t>inflacionário IGP-M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no período de vigência original.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7.1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Fica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ressalvada a possibilidade de alteração das condições para a concessão de reajustes em face da superveniência de normas federais aplicáveis à espécie.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7.2 Se no decorrer dos fornecimentos oriundos da Ata de Registro de Preços, ficar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comprovado que os preços registrados são incompatíveis com os fixados por órgãos oficiais ou com os praticados no mercado,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 Administração reserva-se o direito de aplicar o disposto no artigo 75, inciso III, alínea b da Lei nº. 14.133/2021 e alterações, efetuando a compra direta, por valor não superior ao constante da Ata de Registro de Preços. Tal comprovação será feita através de tabelas oficiais e/ou cotações de mercado.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VIII - DO CANCELAMENTO DA ATA DE REGISTRO DE PREÇOS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 A Ata de Registro de Preços poderá ser cancelada, de pleno direito: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Pela Administração Municipal, quando: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8.1.1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 detentora não cumprir as obrigações constantes desta Ata de Registro de Preços;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8.1.2 A detentora não retirar a Nota de Empenho no prazo estabelecido e a Administração não aceitar sua justificativa;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8.1.3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 detentora der causa a rescisão administrativa de contrato decorrente de registro de preços;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8.1.4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Em qualquer das hipóteses de recusa na entrega total ou parcial de contrato decorrente de registro de preços;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8.1.5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Os preços registrados se apresentarem superiores aos praticados no mercado;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8.1.6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Por razões de interesse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público devidamente demonstradas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 justificadas pela Administração;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8.2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No caso de ser ignorado, incerto ou inacessível o endereço da detentora, a comunicação será feita por publicação na Imprensa Oficial, considerando-se cancelado o preço registrado após 01</w:t>
            </w:r>
            <w:r w:rsidR="00AC19E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(um) dia da publicação.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8.3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Pelas detentoras, quando, mediante solicitação por escrito, comprovarem estar impossibilitadas de cumprir as exigências desta Ata de Registro de Preços.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8.4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 solicitação das detentoras para cancelamento dos preços registrados deverá ser formulada com a antecedência de 30 (trinta) dias, cabendo a Administração a aplicação das penalidades previstas em lei.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IX - DA AUTORIZAÇÃO PARA CONTRATAÇÃO E EMISSÃO DAS NOTAS DE EMPENHO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 O fornecimento do objeto da presente Ata de Registro de Preços será autorizado, caso a caso, pelo (a) MUNICÍPIO DE SAPUCAIA DO SUL, que é o órgão gerenciador da mesma e também pela unidade financeira competente para os pagamentos.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9.1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 emissão dos pedidos, sua retificação ou cancelamento, autorizado pelo órgão requisitante total ou parcial, serão igualmente, quando da solicitação.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X - DAS OBRIGAÇÕES DA CONTRATANTE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 Compete à Contratante: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10.1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Fazer o pedido no prazo de 05 (cinco) dias antecedente a sua necessidade.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10.2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Efetuar o pagamento nas condições pactuadas.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10.3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Notificar a Contratada relativamente a qualquer irregularidade encontrada no fornecimento dos Produtos/Serviços. 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10.4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 Município não será responsáveis por quaisquer ônus, direitos ou obrigações vinculadas à legislação trabalhista, tributárias ou securitárias decorrentes da execução do presente contrato, cujo cumprimento e responsabilidade caberão, exclusivamente, à Contratada.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A56A57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56A5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CLÁUSULA XI - DAS OBRIGAÇÕES DA CONTRATADA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A56A57" w:rsidRDefault="00B33398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56A5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11. Fornecer (CONFORME PRAZO ESTIPULADO NO EDITAL E SEUS ANEXOS) a pronta entrega e material de qualidade conforme discriminado, juntamente com a nota Fiscal, sem custo de frete.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6A4759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11.1</w:t>
            </w:r>
            <w:r w:rsidR="00B3339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Prestar garantia conforme código de defesa do consumidor.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XII - DAS DISPOSIÇÕES FINAIS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6A4759" w:rsidP="006A4759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12.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Integram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esta Ata</w:t>
                  </w:r>
                  <w:r w:rsidR="00B33398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o Edital de Pregão Eletrônico Nº. 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053</w:t>
                  </w:r>
                  <w:r w:rsidR="00B33398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/</w:t>
                  </w:r>
                  <w:r w:rsidR="00B33398" w:rsidRPr="00A56A57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 xml:space="preserve">2024, </w:t>
                  </w:r>
                  <w:r w:rsidR="00B33398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 xml:space="preserve">o </w:t>
                  </w:r>
                  <w:r w:rsidRPr="006A4759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  <w:szCs w:val="16"/>
                    </w:rPr>
                    <w:t>Termo de Referência</w:t>
                  </w:r>
                  <w:r w:rsidR="00B33398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e as propostas das empresas classificadas no mesmo.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lastRenderedPageBreak/>
                    <w:t>12.1</w:t>
                  </w:r>
                  <w:r w:rsidR="006A475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Fica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eleito o foro de Sapucaia do Sul - RS, para dirimir quaisquer questões decorrentes da utilização da presente Ata.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12.2</w:t>
            </w:r>
            <w:r w:rsidR="006A475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Os casos omissos serão resolvidos de acordo com a Lei nº. 14.133/2021 e alterações, e demais normas aplicáveis.</w:t>
            </w:r>
          </w:p>
        </w:tc>
      </w:tr>
      <w:tr w:rsidR="00B33398" w:rsidTr="00663439">
        <w:trPr>
          <w:trHeight w:hRule="exact" w:val="345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spacing w:line="1" w:lineRule="auto"/>
              <w:jc w:val="both"/>
            </w:pPr>
          </w:p>
        </w:tc>
      </w:tr>
      <w:tr w:rsidR="00B33398" w:rsidRPr="00A56A57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A56A57">
              <w:trPr>
                <w:jc w:val="right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A56A57" w:rsidRDefault="00B33398" w:rsidP="00A56A57">
                  <w:pPr>
                    <w:jc w:val="right"/>
                  </w:pPr>
                  <w:r w:rsidRPr="00A56A5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Sapucaia do Sul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56A5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___________________</w:t>
                  </w:r>
                  <w:r w:rsidRPr="00A56A5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de 2024.</w:t>
                  </w:r>
                </w:p>
              </w:tc>
            </w:tr>
          </w:tbl>
          <w:p w:rsidR="00B33398" w:rsidRPr="00A56A57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vanish/>
              </w:rPr>
            </w:pPr>
          </w:p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rPr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</w:pP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_______________________________________</w:t>
                  </w: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MUNICÍPIO DE SAPUCAIA DO SUL</w:t>
                  </w: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Contratante</w:t>
                  </w:r>
                </w:p>
                <w:p w:rsidR="00B33398" w:rsidRDefault="00B33398" w:rsidP="00DF617E"/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_______________________________________</w:t>
                  </w: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XXXXXXXXXX</w:t>
                  </w:r>
                </w:p>
                <w:p w:rsidR="00B33398" w:rsidRDefault="00B33398" w:rsidP="006A475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Contratada</w:t>
                  </w:r>
                </w:p>
                <w:p w:rsidR="00B33398" w:rsidRDefault="00B33398" w:rsidP="00B33398"/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vanish/>
              </w:rPr>
            </w:pPr>
            <w:bookmarkStart w:id="5" w:name="__bookmark_5"/>
            <w:bookmarkEnd w:id="5"/>
          </w:p>
          <w:tbl>
            <w:tblPr>
              <w:tblOverlap w:val="never"/>
              <w:tblW w:w="10625" w:type="dxa"/>
              <w:tblInd w:w="20" w:type="dxa"/>
              <w:tblLayout w:type="fixed"/>
              <w:tblLook w:val="01E0"/>
            </w:tblPr>
            <w:tblGrid>
              <w:gridCol w:w="1062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bookmarkStart w:id="6" w:name="_Toc1124218.0"/>
                <w:bookmarkEnd w:id="6"/>
                <w:p w:rsidR="00B33398" w:rsidRDefault="00D47DA5">
                  <w:pPr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 w:rsidR="00B33398">
                    <w:instrText xml:space="preserve"> TC "1124218.0" \f C \l "1"</w:instrText>
                  </w:r>
                  <w:r>
                    <w:fldChar w:fldCharType="end"/>
                  </w:r>
                </w:p>
                <w:tbl>
                  <w:tblPr>
                    <w:tblOverlap w:val="never"/>
                    <w:tblW w:w="10665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665"/>
                  </w:tblGrid>
                  <w:tr w:rsidR="00B33398">
                    <w:trPr>
                      <w:jc w:val="center"/>
                    </w:trPr>
                    <w:tc>
                      <w:tcPr>
                        <w:tcW w:w="1066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3398" w:rsidRDefault="00B33398" w:rsidP="00DF617E"/>
                    </w:tc>
                  </w:tr>
                </w:tbl>
                <w:p w:rsidR="00B33398" w:rsidRDefault="00B33398">
                  <w:pPr>
                    <w:spacing w:line="1" w:lineRule="auto"/>
                  </w:pPr>
                </w:p>
              </w:tc>
            </w:tr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spacing w:line="1" w:lineRule="auto"/>
                    <w:jc w:val="both"/>
                  </w:pP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</w:tbl>
    <w:p w:rsidR="0001077F" w:rsidRDefault="0001077F"/>
    <w:sectPr w:rsidR="0001077F" w:rsidSect="00B33398">
      <w:headerReference w:type="default" r:id="rId6"/>
      <w:footerReference w:type="default" r:id="rId7"/>
      <w:pgSz w:w="11905" w:h="16837"/>
      <w:pgMar w:top="251" w:right="566" w:bottom="113" w:left="566" w:header="396" w:footer="1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759" w:rsidRDefault="006A4759" w:rsidP="00AE2BD5">
      <w:r>
        <w:separator/>
      </w:r>
    </w:p>
  </w:endnote>
  <w:endnote w:type="continuationSeparator" w:id="0">
    <w:p w:rsidR="006A4759" w:rsidRDefault="006A4759" w:rsidP="00AE2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88" w:type="dxa"/>
      <w:tblLayout w:type="fixed"/>
      <w:tblLook w:val="01E0"/>
    </w:tblPr>
    <w:tblGrid>
      <w:gridCol w:w="10988"/>
    </w:tblGrid>
    <w:tr w:rsidR="006A4759">
      <w:trPr>
        <w:trHeight w:val="283"/>
        <w:hidden/>
      </w:trPr>
      <w:tc>
        <w:tcPr>
          <w:tcW w:w="10988" w:type="dxa"/>
        </w:tcPr>
        <w:p w:rsidR="006A4759" w:rsidRDefault="006A4759">
          <w:pPr>
            <w:rPr>
              <w:vanish/>
            </w:rPr>
          </w:pPr>
        </w:p>
        <w:tbl>
          <w:tblPr>
            <w:tblOverlap w:val="never"/>
            <w:tblW w:w="10733" w:type="dxa"/>
            <w:tblInd w:w="20" w:type="dxa"/>
            <w:tblBorders>
              <w:top w:val="single" w:sz="6" w:space="0" w:color="000000"/>
            </w:tblBorders>
            <w:tblLayout w:type="fixed"/>
            <w:tblLook w:val="01E0"/>
          </w:tblPr>
          <w:tblGrid>
            <w:gridCol w:w="1976"/>
            <w:gridCol w:w="6780"/>
            <w:gridCol w:w="1977"/>
          </w:tblGrid>
          <w:tr w:rsidR="006A4759">
            <w:tc>
              <w:tcPr>
                <w:tcW w:w="1984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4759" w:rsidRDefault="006A4759">
                <w:pPr>
                  <w:rPr>
                    <w:rFonts w:ascii="Arial" w:eastAsia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000000"/>
                    <w:sz w:val="12"/>
                    <w:szCs w:val="12"/>
                  </w:rPr>
                  <w:t xml:space="preserve">IPM Sistemas </w:t>
                </w:r>
                <w:proofErr w:type="spellStart"/>
                <w:r>
                  <w:rPr>
                    <w:rFonts w:ascii="Arial" w:eastAsia="Arial" w:hAnsi="Arial" w:cs="Arial"/>
                    <w:color w:val="000000"/>
                    <w:sz w:val="12"/>
                    <w:szCs w:val="12"/>
                  </w:rPr>
                  <w:t>Ltda</w:t>
                </w:r>
                <w:proofErr w:type="spellEnd"/>
              </w:p>
              <w:p w:rsidR="006A4759" w:rsidRDefault="006A4759">
                <w:pPr>
                  <w:rPr>
                    <w:rFonts w:ascii="Arial" w:eastAsia="Arial" w:hAnsi="Arial" w:cs="Arial"/>
                    <w:color w:val="000000"/>
                    <w:sz w:val="12"/>
                    <w:szCs w:val="12"/>
                  </w:rPr>
                </w:pPr>
                <w:proofErr w:type="gramStart"/>
                <w:r>
                  <w:rPr>
                    <w:rFonts w:ascii="Arial" w:eastAsia="Arial" w:hAnsi="Arial" w:cs="Arial"/>
                    <w:color w:val="000000"/>
                    <w:sz w:val="12"/>
                    <w:szCs w:val="12"/>
                  </w:rPr>
                  <w:t>Atende.</w:t>
                </w:r>
                <w:proofErr w:type="gramEnd"/>
                <w:r>
                  <w:rPr>
                    <w:rFonts w:ascii="Arial" w:eastAsia="Arial" w:hAnsi="Arial" w:cs="Arial"/>
                    <w:color w:val="000000"/>
                    <w:sz w:val="12"/>
                    <w:szCs w:val="12"/>
                  </w:rPr>
                  <w:t>Net - WCO v:2015.04</w:t>
                </w:r>
              </w:p>
            </w:tc>
            <w:tc>
              <w:tcPr>
                <w:tcW w:w="680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4759" w:rsidRDefault="006A4759">
                <w:pPr>
                  <w:jc w:val="center"/>
                  <w:rPr>
                    <w:rFonts w:ascii="Arial" w:eastAsia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000000"/>
                    <w:sz w:val="12"/>
                    <w:szCs w:val="12"/>
                  </w:rPr>
                  <w:t>Identificador: WCO2051101-7415-SSHIJUBQQXSS-3 - Emitido por: FERNANDA DE FREITAS MAGALHÃES RODRIGUES</w:t>
                </w:r>
              </w:p>
            </w:tc>
            <w:tc>
              <w:tcPr>
                <w:tcW w:w="1984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984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984"/>
                </w:tblGrid>
                <w:tr w:rsidR="006A4759">
                  <w:trPr>
                    <w:jc w:val="right"/>
                  </w:trPr>
                  <w:tc>
                    <w:tcPr>
                      <w:tcW w:w="1984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4759" w:rsidRDefault="006A4759">
                      <w:pPr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 xml:space="preserve">15/08/2024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>12:16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>:10 -03:00</w:t>
                      </w:r>
                    </w:p>
                  </w:tc>
                </w:tr>
              </w:tbl>
              <w:p w:rsidR="006A4759" w:rsidRDefault="006A4759">
                <w:pPr>
                  <w:spacing w:line="1" w:lineRule="auto"/>
                </w:pPr>
              </w:p>
            </w:tc>
          </w:tr>
        </w:tbl>
        <w:p w:rsidR="006A4759" w:rsidRDefault="006A4759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759" w:rsidRDefault="006A4759" w:rsidP="00AE2BD5">
      <w:r>
        <w:separator/>
      </w:r>
    </w:p>
  </w:footnote>
  <w:footnote w:type="continuationSeparator" w:id="0">
    <w:p w:rsidR="006A4759" w:rsidRDefault="006A4759" w:rsidP="00AE2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88" w:type="dxa"/>
      <w:tblLayout w:type="fixed"/>
      <w:tblLook w:val="01E0"/>
    </w:tblPr>
    <w:tblGrid>
      <w:gridCol w:w="10988"/>
    </w:tblGrid>
    <w:tr w:rsidR="006A4759" w:rsidTr="00DF617E">
      <w:trPr>
        <w:trHeight w:val="850"/>
        <w:hidden/>
      </w:trPr>
      <w:tc>
        <w:tcPr>
          <w:tcW w:w="10988" w:type="dxa"/>
        </w:tcPr>
        <w:p w:rsidR="006A4759" w:rsidRDefault="006A4759">
          <w:pPr>
            <w:rPr>
              <w:vanish/>
            </w:rPr>
          </w:pPr>
        </w:p>
        <w:tbl>
          <w:tblPr>
            <w:tblOverlap w:val="never"/>
            <w:tblW w:w="10733" w:type="dxa"/>
            <w:tblInd w:w="20" w:type="dxa"/>
            <w:tblBorders>
              <w:bottom w:val="double" w:sz="6" w:space="0" w:color="000000"/>
            </w:tblBorders>
            <w:tblLayout w:type="fixed"/>
            <w:tblLook w:val="01E0"/>
          </w:tblPr>
          <w:tblGrid>
            <w:gridCol w:w="1693"/>
            <w:gridCol w:w="7346"/>
            <w:gridCol w:w="1694"/>
          </w:tblGrid>
          <w:tr w:rsidR="006A4759">
            <w:tc>
              <w:tcPr>
                <w:tcW w:w="17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4759" w:rsidRDefault="006A475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5" type="#_x0000_t75" style="position:absolute;margin-left:0;margin-top:0;width:50pt;height:50pt;z-index:251657728;visibility:hidden">
                      <v:stroke imagealignshape="f"/>
                      <o:lock v:ext="edit" selection="t"/>
                    </v:shape>
                  </w:pict>
                </w:r>
                <w:r>
                  <w:rPr>
                    <w:noProof/>
                  </w:rPr>
                  <w:drawing>
                    <wp:inline distT="0" distB="0" distL="0" distR="0">
                      <wp:extent cx="608017" cy="635330"/>
                      <wp:effectExtent l="19050" t="0" r="1583" b="0"/>
                      <wp:docPr id="1" name="Imagem 1" descr="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7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600" cy="6369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7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4759" w:rsidRDefault="006A4759">
                <w:pPr>
                  <w:jc w:val="center"/>
                  <w:rPr>
                    <w:rFonts w:ascii="Arial" w:eastAsia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22"/>
                    <w:szCs w:val="22"/>
                  </w:rPr>
                  <w:t>MUNICÍPIO DE SAPUCAIA DO SUL</w:t>
                </w:r>
              </w:p>
              <w:p w:rsidR="006A4759" w:rsidRDefault="006A4759">
                <w:pPr>
                  <w:jc w:val="center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 xml:space="preserve">Diretoria de Compras e licitações </w:t>
                </w:r>
              </w:p>
              <w:p w:rsidR="006A4759" w:rsidRDefault="006A4759">
                <w:pPr>
                  <w:jc w:val="center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 xml:space="preserve"> Diretoria de Contratos</w:t>
                </w:r>
              </w:p>
              <w:p w:rsidR="006A4759" w:rsidRDefault="006A4759">
                <w:pPr>
                  <w:spacing w:line="1" w:lineRule="auto"/>
                </w:pPr>
              </w:p>
            </w:tc>
            <w:tc>
              <w:tcPr>
                <w:tcW w:w="17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4759" w:rsidRDefault="006A4759">
                <w:pPr>
                  <w:jc w:val="right"/>
                  <w:rPr>
                    <w:vanish/>
                  </w:rPr>
                </w:pPr>
              </w:p>
              <w:tbl>
                <w:tblPr>
                  <w:tblOverlap w:val="never"/>
                  <w:tblW w:w="1660" w:type="dxa"/>
                  <w:jc w:val="right"/>
                  <w:tblInd w:w="20" w:type="dxa"/>
                  <w:tblLayout w:type="fixed"/>
                  <w:tblLook w:val="01E0"/>
                </w:tblPr>
                <w:tblGrid>
                  <w:gridCol w:w="557"/>
                  <w:gridCol w:w="412"/>
                  <w:gridCol w:w="278"/>
                  <w:gridCol w:w="413"/>
                </w:tblGrid>
                <w:tr w:rsidR="006A4759">
                  <w:trPr>
                    <w:jc w:val="right"/>
                  </w:trPr>
                  <w:tc>
                    <w:tcPr>
                      <w:tcW w:w="57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4759" w:rsidRDefault="006A4759">
                      <w:pPr>
                        <w:jc w:val="right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>Pág</w:t>
                      </w:r>
                      <w:proofErr w:type="spellEnd"/>
                    </w:p>
                  </w:tc>
                  <w:tc>
                    <w:tcPr>
                      <w:tcW w:w="422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4759" w:rsidRDefault="006A4759">
                      <w:pPr>
                        <w:jc w:val="right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instrText>PAGE</w:instrText>
                      </w:r>
                      <w:r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D56553">
                        <w:rPr>
                          <w:rFonts w:ascii="Arial" w:eastAsia="Arial" w:hAnsi="Arial" w:cs="Arial"/>
                          <w:noProof/>
                          <w:color w:val="00000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28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4759" w:rsidRDefault="006A4759">
                      <w:pPr>
                        <w:jc w:val="center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>/</w:t>
                      </w:r>
                    </w:p>
                  </w:tc>
                  <w:tc>
                    <w:tcPr>
                      <w:tcW w:w="423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4759" w:rsidRDefault="006A4759">
                      <w:pP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instrText>NUMPAGES</w:instrText>
                      </w:r>
                      <w:r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D56553">
                        <w:rPr>
                          <w:rFonts w:ascii="Arial" w:eastAsia="Arial" w:hAnsi="Arial" w:cs="Arial"/>
                          <w:noProof/>
                          <w:color w:val="00000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</w:tr>
              </w:tbl>
              <w:p w:rsidR="006A4759" w:rsidRDefault="006A4759">
                <w:pPr>
                  <w:spacing w:line="1" w:lineRule="auto"/>
                </w:pPr>
              </w:p>
            </w:tc>
          </w:tr>
        </w:tbl>
        <w:p w:rsidR="006A4759" w:rsidRDefault="006A4759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E2BD5"/>
    <w:rsid w:val="0001077F"/>
    <w:rsid w:val="0004596A"/>
    <w:rsid w:val="001D275A"/>
    <w:rsid w:val="001E3C32"/>
    <w:rsid w:val="005669F2"/>
    <w:rsid w:val="00663439"/>
    <w:rsid w:val="006A4759"/>
    <w:rsid w:val="00843B4F"/>
    <w:rsid w:val="008A65CC"/>
    <w:rsid w:val="009B6C70"/>
    <w:rsid w:val="009F27C7"/>
    <w:rsid w:val="00A1045F"/>
    <w:rsid w:val="00A56A57"/>
    <w:rsid w:val="00AC19E7"/>
    <w:rsid w:val="00AE2BD5"/>
    <w:rsid w:val="00B33398"/>
    <w:rsid w:val="00D47DA5"/>
    <w:rsid w:val="00D56553"/>
    <w:rsid w:val="00DF617E"/>
    <w:rsid w:val="00E31BDC"/>
    <w:rsid w:val="00F3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4">
    <w:name w:val="toc 4"/>
    <w:autoRedefine/>
    <w:semiHidden/>
    <w:rsid w:val="009B3C8F"/>
  </w:style>
  <w:style w:type="character" w:styleId="Hyperlink">
    <w:name w:val="Hyperlink"/>
    <w:rsid w:val="00AE2BD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634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3439"/>
  </w:style>
  <w:style w:type="paragraph" w:styleId="Rodap">
    <w:name w:val="footer"/>
    <w:basedOn w:val="Normal"/>
    <w:link w:val="RodapChar"/>
    <w:uiPriority w:val="99"/>
    <w:semiHidden/>
    <w:unhideWhenUsed/>
    <w:rsid w:val="006634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63439"/>
  </w:style>
  <w:style w:type="paragraph" w:styleId="Textodebalo">
    <w:name w:val="Balloon Text"/>
    <w:basedOn w:val="Normal"/>
    <w:link w:val="TextodebaloChar"/>
    <w:uiPriority w:val="99"/>
    <w:semiHidden/>
    <w:unhideWhenUsed/>
    <w:rsid w:val="00F318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1715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fernanda.magalhaes</dc:creator>
  <cp:lastModifiedBy>jefferson.pires</cp:lastModifiedBy>
  <cp:revision>2</cp:revision>
  <cp:lastPrinted>2024-08-16T17:41:00Z</cp:lastPrinted>
  <dcterms:created xsi:type="dcterms:W3CDTF">2024-08-19T21:07:00Z</dcterms:created>
  <dcterms:modified xsi:type="dcterms:W3CDTF">2024-08-19T21:07:00Z</dcterms:modified>
</cp:coreProperties>
</file>