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861" w:type="dxa"/>
        <w:tblInd w:w="20" w:type="dxa"/>
        <w:tblLayout w:type="fixed"/>
        <w:tblLook w:val="01E0"/>
      </w:tblPr>
      <w:tblGrid>
        <w:gridCol w:w="10861"/>
      </w:tblGrid>
      <w:tr w:rsidR="00AE2BD5" w:rsidRPr="00440822" w:rsidTr="00663439">
        <w:trPr>
          <w:tblHeader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BD5" w:rsidRPr="00440822" w:rsidRDefault="00AE2BD5" w:rsidP="00A56A57"/>
        </w:tc>
      </w:tr>
      <w:tr w:rsidR="00B33398" w:rsidRPr="00440822" w:rsidTr="00B502CA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B502CA">
                  <w:pPr>
                    <w:jc w:val="center"/>
                  </w:pPr>
                  <w:bookmarkStart w:id="0" w:name="__bookmark_1"/>
                  <w:bookmarkEnd w:id="0"/>
                  <w:r w:rsidRPr="00440822">
                    <w:rPr>
                      <w:rFonts w:ascii="Arial" w:eastAsia="Arial" w:hAnsi="Arial" w:cs="Arial"/>
                      <w:b/>
                      <w:bCs/>
                    </w:rPr>
                    <w:t>ATA DE REGISTRO DE PREÇOS: XXXX/202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</w:rPr>
                    <w:t>5</w:t>
                  </w:r>
                </w:p>
              </w:tc>
            </w:tr>
          </w:tbl>
          <w:p w:rsidR="00B33398" w:rsidRPr="00440822" w:rsidRDefault="00B33398" w:rsidP="00B33398">
            <w:pPr>
              <w:tabs>
                <w:tab w:val="left" w:pos="4011"/>
              </w:tabs>
            </w:pPr>
          </w:p>
          <w:p w:rsidR="00B33398" w:rsidRPr="00440822" w:rsidRDefault="00B33398" w:rsidP="00B33398"/>
        </w:tc>
      </w:tr>
      <w:tr w:rsidR="00B33398" w:rsidRPr="00440822" w:rsidTr="00663439">
        <w:trPr>
          <w:trHeight w:hRule="exact" w:val="495"/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398" w:rsidRPr="00440822" w:rsidRDefault="00B33398" w:rsidP="00B502C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502CA" w:rsidP="00613904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PREGÃO ELETRÔNICO Nº 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  <w:r w:rsidR="00203396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</w:t>
                  </w:r>
                  <w:r w:rsidR="00B33398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B33398" w:rsidRPr="00440822" w:rsidRDefault="00B33398" w:rsidP="00B502CA"/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B20F7B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 O MUNICÍPIO DE SAPUCAIA</w:t>
                  </w:r>
                  <w:r w:rsidRPr="00440822">
                    <w:rPr>
                      <w:rFonts w:ascii="Arial" w:eastAsia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DO SUL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Pregão Eletrônico Nº. </w:t>
                  </w:r>
                  <w:r w:rsidR="00613904">
                    <w:rPr>
                      <w:rFonts w:ascii="Arial" w:eastAsia="Arial" w:hAnsi="Arial" w:cs="Arial"/>
                      <w:sz w:val="16"/>
                      <w:szCs w:val="16"/>
                    </w:rPr>
                    <w:t>01/2025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, RESOLVE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registrar os valores oferecidos para </w:t>
                  </w:r>
                  <w:r w:rsidR="00336910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aquisição</w:t>
                  </w:r>
                  <w:r w:rsidR="00B20F7B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de gêneros alimentícios (NÃO PERECÍVEIS</w:t>
                  </w:r>
                  <w:r w:rsidR="00336910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)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, conforme consta no Anexo IV do Edital da referida licitação, que passa a fazer parte desta Ata, tendo sido, os referidos valores, oferecidos pelas empresas cujas propostas foram classificadas no certame. 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  <w:bookmarkStart w:id="1" w:name="__bookmark_2"/>
            <w:bookmarkEnd w:id="1"/>
          </w:p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 - DO OBJETO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E60B41">
                  <w:pPr>
                    <w:jc w:val="both"/>
                    <w:rPr>
                      <w:rFonts w:ascii="Arial" w:hAnsi="Arial" w:cs="Arial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1. CONTRATAÇÃO: </w:t>
                  </w:r>
                  <w:r w:rsidR="00057C5F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Registro de preços para a </w:t>
                  </w:r>
                  <w:r w:rsidR="00336910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aquisição de gêneros alimentícios (</w:t>
                  </w:r>
                  <w:r w:rsidR="00B20F7B">
                    <w:rPr>
                      <w:rFonts w:ascii="Arial" w:eastAsia="Arial" w:hAnsi="Arial" w:cs="Arial"/>
                      <w:sz w:val="16"/>
                      <w:szCs w:val="16"/>
                    </w:rPr>
                    <w:t>NÃO PERECÍVEIS</w:t>
                  </w:r>
                  <w:r w:rsidR="00E60B41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) 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com prazo de até 12 meses podendo ser prorrogada por igual período a partir da assinatura do presente ata, através do Sistema de Registro de Preços, para uso do</w:t>
                  </w:r>
                  <w:r w:rsidR="00FD32EA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(a) MUNICÍPIO DE SAPUCAIA DO SUL, de acordo com as especificações e quantitativos abaixo estimados: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  <w:bookmarkStart w:id="2" w:name="__bookmark_3"/>
            <w:bookmarkEnd w:id="2"/>
          </w:p>
          <w:tbl>
            <w:tblPr>
              <w:tblOverlap w:val="never"/>
              <w:tblW w:w="10563" w:type="dxa"/>
              <w:tblInd w:w="20" w:type="dxa"/>
              <w:tblLayout w:type="fixed"/>
              <w:tblLook w:val="01E0"/>
            </w:tblPr>
            <w:tblGrid>
              <w:gridCol w:w="782"/>
              <w:gridCol w:w="3419"/>
              <w:gridCol w:w="993"/>
              <w:gridCol w:w="888"/>
              <w:gridCol w:w="1353"/>
              <w:gridCol w:w="1564"/>
              <w:gridCol w:w="1564"/>
            </w:tblGrid>
            <w:tr w:rsidR="00B33398" w:rsidRPr="00440822" w:rsidTr="00B33398">
              <w:trPr>
                <w:trHeight w:val="230"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" w:name="_TocTECNISAN_SISTEMAS_OPERACIONAIS_DE_SA"/>
                <w:bookmarkEnd w:id="3"/>
                <w:p w:rsidR="00B33398" w:rsidRPr="00440822" w:rsidRDefault="00351451">
                  <w:pPr>
                    <w:rPr>
                      <w:vanish/>
                    </w:rPr>
                  </w:pPr>
                  <w:r w:rsidRPr="00440822">
                    <w:fldChar w:fldCharType="begin"/>
                  </w:r>
                  <w:r w:rsidR="00B33398" w:rsidRPr="00440822">
                    <w:instrText xml:space="preserve"> TC "TECNISAN SISTEMAS OPERACIONAIS DE SANEAMENTO" \f C \l "1"</w:instrText>
                  </w:r>
                  <w:r w:rsidRPr="00440822">
                    <w:fldChar w:fldCharType="end"/>
                  </w:r>
                </w:p>
                <w:tbl>
                  <w:tblPr>
                    <w:tblOverlap w:val="never"/>
                    <w:tblW w:w="10603" w:type="dxa"/>
                    <w:shd w:val="clear" w:color="auto" w:fill="E0E0E0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03"/>
                  </w:tblGrid>
                  <w:tr w:rsidR="00B33398" w:rsidRPr="00440822">
                    <w:tc>
                      <w:tcPr>
                        <w:tcW w:w="10603" w:type="dxa"/>
                        <w:shd w:val="clear" w:color="auto" w:fill="E0E0E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Pr="00440822" w:rsidRDefault="00B33398" w:rsidP="00B33398">
                        <w:pPr>
                          <w:jc w:val="both"/>
                        </w:pPr>
                        <w:r w:rsidRPr="00440822"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Fornecedor: </w:t>
                        </w:r>
                      </w:p>
                    </w:tc>
                  </w:tr>
                </w:tbl>
                <w:p w:rsidR="00B33398" w:rsidRPr="00440822" w:rsidRDefault="00B33398">
                  <w:pPr>
                    <w:spacing w:line="1" w:lineRule="auto"/>
                  </w:pPr>
                </w:p>
              </w:tc>
            </w:tr>
            <w:tr w:rsidR="00B33398" w:rsidRPr="00440822" w:rsidTr="00B33398">
              <w:trPr>
                <w:trHeight w:val="230"/>
                <w:hidden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rPr>
                      <w:vanish/>
                    </w:rPr>
                  </w:pPr>
                </w:p>
                <w:p w:rsidR="00B33398" w:rsidRPr="00440822" w:rsidRDefault="00B33398">
                  <w:pPr>
                    <w:spacing w:line="1" w:lineRule="auto"/>
                  </w:pPr>
                </w:p>
              </w:tc>
            </w:tr>
            <w:tr w:rsidR="00B33398" w:rsidRPr="00440822" w:rsidTr="00E60B41">
              <w:trPr>
                <w:trHeight w:val="184"/>
              </w:trPr>
              <w:tc>
                <w:tcPr>
                  <w:tcW w:w="7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Valor</w:t>
                  </w:r>
                </w:p>
              </w:tc>
            </w:tr>
            <w:tr w:rsidR="00B33398" w:rsidRPr="00440822" w:rsidTr="00E60B41">
              <w:trPr>
                <w:trHeight w:val="1"/>
              </w:trPr>
              <w:tc>
                <w:tcPr>
                  <w:tcW w:w="7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1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spacing w:line="1" w:lineRule="auto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Unitário</w:t>
                  </w: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B33398" w:rsidRPr="00440822" w:rsidTr="00E60B41">
              <w:trPr>
                <w:trHeight w:val="355"/>
              </w:trPr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0B41" w:rsidRPr="00440822" w:rsidRDefault="00E60B41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Pr="00440822" w:rsidRDefault="00B33398" w:rsidP="00E60B41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B33398" w:rsidRPr="00440822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righ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Total Geral dos Itens: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II - DA VALIDADE DOS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8A65CC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2. A presente Ata de Registro de Preços terá validade de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1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ano, contados a partir da sua assinatura.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2.1.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 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III - DA UTILIZAÇÃO DA ATA DE REGISTRO DE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3.</w:t>
                  </w:r>
                  <w:r w:rsidR="00017C72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1. 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A presente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Ata de Registro de Preços será usado pelo (a) MUNICÍPIO DE SAPUCAIA DO SUL, que será o órgão gerenciador da presente Ata de Registro de Preços.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613904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3.</w:t>
                  </w:r>
                  <w:r w:rsidR="00017C72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2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O valor ofertado pelas empresas signatárias da presente Ata de Registro de Preços é o relacionado na Cláusula Primeira, de acordo com a respectiva classificação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no(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a) </w:t>
                  </w:r>
                  <w:r w:rsidR="00B502CA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Pregão Eletrônico Nº. 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057C5F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3.</w:t>
                  </w:r>
                  <w:r w:rsidR="00017C72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. Em cada fornecimento de serviço(s) decorrente desta Ata, serão observadas as cláusulas e condições constantes do Edital de </w:t>
                  </w:r>
                  <w:r w:rsidR="00B502CA"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 xml:space="preserve">Pregão Eletrônico Nº. 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01</w:t>
                  </w:r>
                  <w:r w:rsidRPr="00440822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/202</w:t>
                  </w:r>
                  <w:r w:rsidR="00613904">
                    <w:rPr>
                      <w:rFonts w:ascii="Arial" w:eastAsia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 seus Anexos, que a precederam e integram o presente instrumento de compromisso.</w:t>
                  </w:r>
                </w:p>
                <w:tbl>
                  <w:tblPr>
                    <w:tblOverlap w:val="never"/>
                    <w:tblW w:w="10860" w:type="dxa"/>
                    <w:tblInd w:w="20" w:type="dxa"/>
                    <w:tblLayout w:type="fixed"/>
                    <w:tblLook w:val="01E0"/>
                  </w:tblPr>
                  <w:tblGrid>
                    <w:gridCol w:w="10860"/>
                  </w:tblGrid>
                  <w:tr w:rsidR="00AE19D5" w:rsidRPr="00440822" w:rsidTr="00F11B39">
                    <w:trPr>
                      <w:trHeight w:val="480"/>
                    </w:trPr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E19D5" w:rsidRPr="00440822" w:rsidRDefault="00AE19D5">
                        <w:pPr>
                          <w:shd w:val="clear" w:color="auto" w:fill="E0E0E0"/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40822"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CLÁUSULA IV - DO PAGAMENTO</w:t>
                        </w:r>
                      </w:p>
                    </w:tc>
                  </w:tr>
                  <w:tr w:rsidR="00AE19D5" w:rsidRPr="00440822" w:rsidTr="00F11B39"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Overlap w:val="never"/>
                          <w:tblW w:w="106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0665"/>
                        </w:tblGrid>
                        <w:tr w:rsidR="00AE19D5" w:rsidRPr="00440822">
                          <w:tc>
                            <w:tcPr>
                              <w:tcW w:w="10665" w:type="dxa"/>
                              <w:hideMark/>
                            </w:tcPr>
                            <w:p w:rsidR="00AE19D5" w:rsidRPr="00440822" w:rsidRDefault="00AE19D5">
                              <w:r w:rsidRPr="00440822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4. O valor Global desta ATA é de R$_____________</w:t>
                              </w:r>
                              <w:proofErr w:type="gramStart"/>
                              <w:r w:rsidRPr="00440822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gramEnd"/>
                              <w:r w:rsidRPr="00440822"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________).</w:t>
                              </w:r>
                            </w:p>
                          </w:tc>
                        </w:tr>
                      </w:tbl>
                      <w:p w:rsidR="00AE19D5" w:rsidRPr="00440822" w:rsidRDefault="00AE19D5">
                        <w:pPr>
                          <w:spacing w:line="0" w:lineRule="auto"/>
                        </w:pPr>
                      </w:p>
                    </w:tc>
                  </w:tr>
                </w:tbl>
                <w:p w:rsidR="00AE19D5" w:rsidRPr="00440822" w:rsidRDefault="00AE19D5" w:rsidP="00057C5F">
                  <w:pPr>
                    <w:jc w:val="both"/>
                  </w:pP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 w:rsidP="00CA645F">
            <w:pPr>
              <w:shd w:val="clear" w:color="auto" w:fill="E0E0E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CLÁUSULA V - DAS CONDIÇÕES DE FORNECIMENTO, LOCAL E PRAZO DE </w:t>
            </w:r>
            <w:proofErr w:type="gramStart"/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ENTREGA</w:t>
            </w:r>
            <w:proofErr w:type="gramEnd"/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CA645F" w:rsidP="00336910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  <w:r w:rsidR="00B33398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.</w:t>
                  </w:r>
                  <w:r w:rsidR="008002B8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1. </w:t>
                  </w:r>
                  <w:r w:rsidR="00B33398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7C7BAF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As entregas deverão ocorrer SEMANALMENTE, de acordo com a necessidade de cada serviço. Os alimentos deverão ser entregues nos seguintes locais, conforme solicitação com previsão mensal:</w:t>
                  </w:r>
                </w:p>
              </w:tc>
            </w:tr>
          </w:tbl>
          <w:p w:rsidR="00B33398" w:rsidRPr="00440822" w:rsidRDefault="00B33398" w:rsidP="00F11B39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3398" w:rsidRPr="00440822" w:rsidTr="007C7BAF">
        <w:trPr>
          <w:trHeight w:val="681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402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402"/>
            </w:tblGrid>
            <w:tr w:rsidR="00B33398" w:rsidRPr="00440822" w:rsidTr="007C7BAF">
              <w:trPr>
                <w:trHeight w:val="681"/>
              </w:trPr>
              <w:tc>
                <w:tcPr>
                  <w:tcW w:w="104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7BAF" w:rsidRPr="00440822" w:rsidRDefault="007C7BAF" w:rsidP="007C7BAF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CAPSI - Centro de Atenção Psicossocial Infância e adolescência – Rua São Luiz, 63 - Bairro Jardim.</w:t>
                  </w:r>
                </w:p>
                <w:p w:rsidR="007C7BAF" w:rsidRPr="00440822" w:rsidRDefault="007C7BAF" w:rsidP="007C7BAF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CAPS II – Centro de Atenção Psicossocial Adulto - Rua General Osório esquina com Guerreiro Lima, SN – Bairro Centro.</w:t>
                  </w:r>
                </w:p>
                <w:p w:rsidR="007C7BAF" w:rsidRPr="00440822" w:rsidRDefault="007C7BAF" w:rsidP="007C7BAF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CAPSAD - Centro de Atenção Psicossocial Álcool e Outras Drogas – Rua Alfredo Juliano, 560 – Bairro Primor.</w:t>
                  </w:r>
                </w:p>
                <w:p w:rsidR="00057C5F" w:rsidRPr="00440822" w:rsidRDefault="007C7BAF" w:rsidP="00102469">
                  <w:pPr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5.2. O fornecedor receberá na última semana de cada mês a previsão (cronograma) de entregas do mês </w:t>
                  </w:r>
                  <w:r w:rsidR="00102469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subsequ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ente.</w:t>
                  </w:r>
                </w:p>
              </w:tc>
            </w:tr>
          </w:tbl>
          <w:p w:rsidR="00B33398" w:rsidRPr="00440822" w:rsidRDefault="00B33398" w:rsidP="007C7BAF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33398" w:rsidRPr="00440822" w:rsidTr="00B502CA">
        <w:trPr>
          <w:trHeight w:hRule="exact" w:val="787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rPr>
                <w:rFonts w:ascii="Arial" w:eastAsia="Arial" w:hAnsi="Arial" w:cs="Arial"/>
                <w:bCs/>
                <w:sz w:val="16"/>
                <w:szCs w:val="16"/>
              </w:rPr>
            </w:pPr>
            <w:proofErr w:type="gramStart"/>
            <w:r w:rsidRPr="00440822">
              <w:rPr>
                <w:rFonts w:ascii="Arial" w:eastAsia="Arial" w:hAnsi="Arial" w:cs="Arial"/>
                <w:bCs/>
                <w:sz w:val="16"/>
                <w:szCs w:val="16"/>
              </w:rPr>
              <w:t>CLÁUSULA VI</w:t>
            </w:r>
            <w:proofErr w:type="gramEnd"/>
            <w:r w:rsidRPr="00440822">
              <w:rPr>
                <w:rFonts w:ascii="Arial" w:eastAsia="Arial" w:hAnsi="Arial" w:cs="Arial"/>
                <w:bCs/>
                <w:sz w:val="16"/>
                <w:szCs w:val="16"/>
              </w:rPr>
              <w:t xml:space="preserve"> - DAS PENALIDADES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 A recusa injustificada da empresa com proposta classificada na licitação e indicada para registro dos respectivos preços ensejará a aplicação das penalidades enunciadas no artigo 156 da Lei Federal nº. 14.133/2021 e alterações.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6.1.1 Impedimento para registro na Ata, se concluída a fase licitatória;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6.1.2 Cancelamento do registro na Ata;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6.1.3 Advertência e anotação restritiva no Cadastro de Fornecedores;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6.1.4 Multa de 10% (dez por cento) do valor estimado da contratação;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6.1.5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6.1.6 Declaração de inidoneidade para licitar ou contratar com a Administração Pública.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6.2 A aplicação das penalidades ocorrerá depois de defesa prévia do interessado, no prazo estabelecido na Lei de Licitações, a contar da intimação do </w:t>
            </w:r>
            <w:r w:rsidRPr="00440822">
              <w:rPr>
                <w:rFonts w:ascii="Arial" w:eastAsia="Arial" w:hAnsi="Arial" w:cs="Arial"/>
                <w:sz w:val="16"/>
                <w:szCs w:val="16"/>
              </w:rPr>
              <w:lastRenderedPageBreak/>
              <w:t>ato.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6.3 Não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será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aplicada multa se, comprovadamente, o atraso do atendimento, advir de caso fortuito ou motivo de força maior.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6.4 O descumprimento total ou parcial das obrigações assumidas pelo fornecedor no momento da execução da Ata de Registro de Preços, sem justificativa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aceita pelo órgão ou entidade usuária, resguardados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os procedimentos legais pertinentes, poderá acarretar, isolada ou cumulativamente, nas seguintes sanções: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6.4.1 Advertência;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6.4.2 Multa de 10% (dez por cento) sobre o valor estimado total do contrato, em caso de recusa do 1.º colocada de cada item em assinar a Ata de Registro de Preços.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6.4.3 Multa de 10% (dez por cento) por dia de inadimplência, até o trigésimo dia de fornecimento incompleto ou em atraso, incidentes sobre o valor estimado mensal da contratação, além do desconto do valor correspondente ao serviço não realizado pela detentora da Ata.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6.4.4 Suspensão temporária do direito de participar de licitação e de fornecer à Administração Pública, por prazo de até 05 (cinco) anos;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6.5 Em qualquer hipótese de aplicação de penalidades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será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assegurado ao fornecedor o contraditório e ampla defesa.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6.6 A aplicação das sanções previstas nesta Ata não exclui a possibilidade de aplicação de outras, previstas em Lei, inclusive responsabilização do fornecedor por eventuais perdas e danos causados à Administração.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6.7 As importâncias relativas a multas serão descontadas dos pagamentos a serem efetuados à detentora da Ata, podendo, entretanto, conforme o caso</w:t>
            </w:r>
            <w:r w:rsidR="00017C72" w:rsidRPr="00440822">
              <w:rPr>
                <w:rFonts w:ascii="Arial" w:eastAsia="Arial" w:hAnsi="Arial" w:cs="Arial"/>
                <w:sz w:val="16"/>
                <w:szCs w:val="16"/>
              </w:rPr>
              <w:t xml:space="preserve"> processar-se</w:t>
            </w: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 cobrança judicialmente.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6.8 As penalidades serão aplicadas sem prejuízo das demais sanções cabíveis, sejam estas administrativas ou penais, previstas na Lei nº. 14.133/2021 e alterações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VII - DO REAJUSTAMENTO DE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7. Considerando o disposto no artigo 82, §5º, inciso IV e artigo 84 da Lei 14.133/2021, em caso de eventual prorrogação da vigência da presente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ata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de registros de preços, os preços poderão ser atualizados com base no acumulado do índice inflacionário IGP-M no período de vigência original.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7.1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Fica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ressalvada a possibilidade de alteração das condições para a concessão de reajustes em face da superveniência de normas federais aplicáveis à espécie.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7.2 Se no decorrer dos fornecimentos oriundos da Ata de Registro de Preços, ficar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comprovado que os preços registrados são incompatíveis com os fixados por órgãos oficiais ou com os praticados no mercado,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VIII - DO CANCELAMENTO DA ATA DE REGISTRO DE PREÇOS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 A Ata de Registro de Preços poderá ser cancelada, de pleno direito: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 Pela Administração Municipal, quando: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8.1.1 A detentora não cumprir as obrigações constantes desta Ata de Registro de Preços;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8.1.2 A detentora não retirar a Nota de Empenho no prazo estabelecido e a Administração não aceitar sua justificativa;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8.1.3 A detentora der causa a rescisão administrativa de contrato decorrente de registro de preços;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8.1.4 Em qualquer das hipóteses de recusa na entrega total ou parcial de contrato decorrente de registro de preços;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8.1.5 Os preços registrados se apresentarem superiores aos praticados no mercado;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8.1.6 Por razões de interesse </w:t>
            </w:r>
            <w:proofErr w:type="gramStart"/>
            <w:r w:rsidRPr="00440822">
              <w:rPr>
                <w:rFonts w:ascii="Arial" w:eastAsia="Arial" w:hAnsi="Arial" w:cs="Arial"/>
                <w:sz w:val="16"/>
                <w:szCs w:val="16"/>
              </w:rPr>
              <w:t>público devidamente demonstradas</w:t>
            </w:r>
            <w:proofErr w:type="gramEnd"/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 e justificadas pela Administração;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8.2 No caso de ser ignorado, incerto ou inacessível o endereço da detentora, a comunicação será feita por publicação na Imprensa Oficial, considerando-se cancelado o preço registrado após 01(um) dia da publicação.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8.3 Pelas detentoras, quando, mediante solicitação por escrito, comprovarem estar impossibilitadas de cumprir as exigências desta Ata de Registro de Preços.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8.4 A solicitação das detentoras para cancelamento dos preços registrados deverá ser formulada com a antecedência de 30 (trinta) dias, cabendo a Administração a aplicação das penalidades previstas em lei.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IX - DA AUTORIZAÇÃO PARA CONTRATAÇÃO E EMISSÃO DAS NOTAS DE EMPENHO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9. O fornecimento do objeto da presente Ata de Registro de Preços será autorizado, caso a caso, pelo (a) MUNICÍPIO DE SAPUCAIA DO SUL, que é o órgão gerenciador da mesma e também pela unidade financeira competente para os pagamentos.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9.1 A emissão dos pedidos, sua retificação ou cancelamento, autorizado pelo órgão requisitante total ou parcial, serão igualmente, quando da solicitação.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X - DAS OBRIGAÇÕES DA CONTRATANTE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10. Compete à Contratante: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10.1 Fazer o pedido no prazo de 05 (cinco) dias antecedente a sua necessidade.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10.2 Efetuar o pagamento nas condições pactuadas.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 xml:space="preserve">10.3 Notificar a Contratada relativamente a qualquer irregularidade encontrada no fornecimento dos Produtos/Serviços. 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10.4 O Município não será responsáveis por quaisquer ônus, direitos ou obrigações vinculadas à legislação trabalhista, tributárias ou securitárias decorrentes da execução do presente contrato, cujo cumprimento e responsabilidade caberão, exclusivamente, à Contratada.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CLÁUSULA XI - DAS OBRIGAÇÕES DA CONTRATADA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11. Fornecer (CONFORME PRAZO ESTIPULADO NO EDITAL E SEUS ANEXOS) a pronta entrega e material de qualidade conforme discriminado, juntamente com a nota Fiscal, sem custo de frete.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11.2 Prestar garantia conforme código de defesa do consumidor.</w:t>
            </w:r>
          </w:p>
        </w:tc>
      </w:tr>
      <w:tr w:rsidR="00B33398" w:rsidRPr="00440822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440822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b/>
                <w:bCs/>
                <w:sz w:val="16"/>
                <w:szCs w:val="16"/>
              </w:rPr>
              <w:lastRenderedPageBreak/>
              <w:t>CLÁUSULA XII - DAS DISPOSIÇÕES FINAIS</w:t>
            </w: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613904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12. Integram esta Ata, o Ed</w:t>
                  </w:r>
                  <w:r w:rsidR="00FD32EA"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ital de </w:t>
                  </w:r>
                  <w:r w:rsidR="00017C72" w:rsidRPr="004408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Pregão Eletrônico Nº</w:t>
                  </w:r>
                  <w:r w:rsidR="00613904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01</w:t>
                  </w:r>
                  <w:r w:rsidRPr="00440822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/202</w:t>
                  </w:r>
                  <w:r w:rsidR="00613904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5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, o TERMO DE REFERENCIA e as propostas das empresas classificadas no mesmo.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both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12.1 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Fica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eleito o foro de Sapucaia do Sul - RS, para dirimir quaisquer questões decorrentes da utilização da presente Ata.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440822">
              <w:rPr>
                <w:rFonts w:ascii="Arial" w:eastAsia="Arial" w:hAnsi="Arial" w:cs="Arial"/>
                <w:sz w:val="16"/>
                <w:szCs w:val="16"/>
              </w:rPr>
              <w:t>12.2 Os casos omissos serão resolvidos de acordo com a Lei nº. 14.133/2021 e alterações, e demais normas aplicáveis.</w:t>
            </w:r>
          </w:p>
        </w:tc>
      </w:tr>
      <w:tr w:rsidR="00B33398" w:rsidRPr="00440822" w:rsidTr="00663439">
        <w:trPr>
          <w:trHeight w:hRule="exact" w:val="345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spacing w:line="1" w:lineRule="auto"/>
              <w:jc w:val="both"/>
            </w:pPr>
          </w:p>
        </w:tc>
      </w:tr>
      <w:tr w:rsidR="00B33398" w:rsidRPr="00440822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>
              <w:trPr>
                <w:jc w:val="right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 w:rsidP="00613904">
                  <w:pPr>
                    <w:jc w:val="right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Sapucaia do Sul,</w:t>
                  </w:r>
                  <w:proofErr w:type="gramStart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___________________ de 202</w:t>
                  </w:r>
                  <w:r w:rsidR="00613904">
                    <w:rPr>
                      <w:rFonts w:ascii="Arial" w:eastAsia="Arial" w:hAnsi="Arial" w:cs="Arial"/>
                      <w:sz w:val="16"/>
                      <w:szCs w:val="16"/>
                    </w:rPr>
                    <w:t>5</w:t>
                  </w: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440822" w:rsidTr="00B502CA">
              <w:trPr>
                <w:trHeight w:val="909"/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jc w:val="center"/>
                  </w:pP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MUNICÍPIO DE SAPUCAIA DO SUL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Contratante</w:t>
                  </w:r>
                </w:p>
                <w:p w:rsidR="00B33398" w:rsidRPr="00440822" w:rsidRDefault="00B33398" w:rsidP="00DF617E"/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XXXXXXXXXX</w:t>
                  </w:r>
                </w:p>
                <w:p w:rsidR="00B33398" w:rsidRPr="00440822" w:rsidRDefault="00B33398" w:rsidP="00B33398">
                  <w:pPr>
                    <w:jc w:val="center"/>
                  </w:pPr>
                  <w:r w:rsidRPr="00440822">
                    <w:rPr>
                      <w:rFonts w:ascii="Arial" w:eastAsia="Arial" w:hAnsi="Arial" w:cs="Arial"/>
                      <w:sz w:val="16"/>
                      <w:szCs w:val="16"/>
                    </w:rPr>
                    <w:t>Contratada</w:t>
                  </w:r>
                </w:p>
                <w:p w:rsidR="00B33398" w:rsidRPr="00440822" w:rsidRDefault="00B33398">
                  <w:pPr>
                    <w:jc w:val="center"/>
                  </w:pPr>
                </w:p>
                <w:p w:rsidR="00B33398" w:rsidRPr="00440822" w:rsidRDefault="00B33398">
                  <w:pPr>
                    <w:jc w:val="center"/>
                  </w:pPr>
                </w:p>
                <w:p w:rsidR="00B33398" w:rsidRPr="00440822" w:rsidRDefault="00B33398" w:rsidP="00B33398"/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  <w:tr w:rsidR="00B33398" w:rsidRPr="00440822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440822" w:rsidRDefault="00B33398">
            <w:pPr>
              <w:jc w:val="both"/>
              <w:rPr>
                <w:vanish/>
              </w:rPr>
            </w:pPr>
            <w:bookmarkStart w:id="4" w:name="__bookmark_5"/>
            <w:bookmarkEnd w:id="4"/>
          </w:p>
          <w:tbl>
            <w:tblPr>
              <w:tblOverlap w:val="never"/>
              <w:tblW w:w="10625" w:type="dxa"/>
              <w:tblInd w:w="20" w:type="dxa"/>
              <w:tblLayout w:type="fixed"/>
              <w:tblLook w:val="01E0"/>
            </w:tblPr>
            <w:tblGrid>
              <w:gridCol w:w="10625"/>
            </w:tblGrid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5" w:name="_Toc1124218.0"/>
                <w:bookmarkEnd w:id="5"/>
                <w:p w:rsidR="00B33398" w:rsidRPr="00440822" w:rsidRDefault="00351451">
                  <w:pPr>
                    <w:jc w:val="center"/>
                    <w:rPr>
                      <w:vanish/>
                    </w:rPr>
                  </w:pPr>
                  <w:r w:rsidRPr="00440822">
                    <w:fldChar w:fldCharType="begin"/>
                  </w:r>
                  <w:r w:rsidR="00B33398" w:rsidRPr="00440822">
                    <w:instrText xml:space="preserve"> TC "1124218.0" \f C \l "1"</w:instrText>
                  </w:r>
                  <w:r w:rsidRPr="00440822">
                    <w:fldChar w:fldCharType="end"/>
                  </w:r>
                </w:p>
                <w:tbl>
                  <w:tblPr>
                    <w:tblOverlap w:val="never"/>
                    <w:tblW w:w="1066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65"/>
                  </w:tblGrid>
                  <w:tr w:rsidR="00B33398" w:rsidRPr="00440822">
                    <w:trPr>
                      <w:jc w:val="center"/>
                    </w:trPr>
                    <w:tc>
                      <w:tcPr>
                        <w:tcW w:w="10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Pr="00440822" w:rsidRDefault="00B33398" w:rsidP="00DF617E"/>
                    </w:tc>
                  </w:tr>
                </w:tbl>
                <w:p w:rsidR="00B33398" w:rsidRPr="00440822" w:rsidRDefault="00B33398">
                  <w:pPr>
                    <w:spacing w:line="1" w:lineRule="auto"/>
                  </w:pPr>
                </w:p>
              </w:tc>
            </w:tr>
            <w:tr w:rsidR="00B33398" w:rsidRPr="00440822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440822" w:rsidRDefault="00B33398">
                  <w:pPr>
                    <w:spacing w:line="1" w:lineRule="auto"/>
                    <w:jc w:val="both"/>
                  </w:pPr>
                </w:p>
              </w:tc>
            </w:tr>
          </w:tbl>
          <w:p w:rsidR="00B33398" w:rsidRPr="00440822" w:rsidRDefault="00B33398">
            <w:pPr>
              <w:spacing w:line="1" w:lineRule="auto"/>
            </w:pPr>
          </w:p>
        </w:tc>
      </w:tr>
    </w:tbl>
    <w:p w:rsidR="0001077F" w:rsidRPr="00440822" w:rsidRDefault="0001077F"/>
    <w:sectPr w:rsidR="0001077F" w:rsidRPr="00440822" w:rsidSect="00B502CA">
      <w:headerReference w:type="default" r:id="rId6"/>
      <w:footerReference w:type="default" r:id="rId7"/>
      <w:pgSz w:w="11905" w:h="16837"/>
      <w:pgMar w:top="251" w:right="566" w:bottom="2410" w:left="566" w:header="396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CE" w:rsidRDefault="004D7FCE" w:rsidP="00AE2BD5">
      <w:r>
        <w:separator/>
      </w:r>
    </w:p>
  </w:endnote>
  <w:endnote w:type="continuationSeparator" w:id="0">
    <w:p w:rsidR="004D7FCE" w:rsidRDefault="004D7FCE" w:rsidP="00AE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CE" w:rsidRDefault="004D7FC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CE" w:rsidRDefault="004D7FCE" w:rsidP="00AE2BD5">
      <w:r>
        <w:separator/>
      </w:r>
    </w:p>
  </w:footnote>
  <w:footnote w:type="continuationSeparator" w:id="0">
    <w:p w:rsidR="004D7FCE" w:rsidRDefault="004D7FCE" w:rsidP="00AE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4D7FCE" w:rsidTr="00DF617E">
      <w:trPr>
        <w:trHeight w:val="850"/>
        <w:hidden/>
      </w:trPr>
      <w:tc>
        <w:tcPr>
          <w:tcW w:w="10988" w:type="dxa"/>
        </w:tcPr>
        <w:p w:rsidR="004D7FCE" w:rsidRDefault="004D7FCE">
          <w:pPr>
            <w:rPr>
              <w:vanish/>
            </w:rPr>
          </w:pPr>
        </w:p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 w:rsidR="004D7FCE"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D7FCE" w:rsidRDefault="003514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margin-left:0;margin-top:0;width:50pt;height:50pt;z-index:251657728;visibility:hidden">
                      <v:stroke imagealignshape="f"/>
                      <o:lock v:ext="edit" selection="t"/>
                    </v:shape>
                  </w:pict>
                </w:r>
                <w:r w:rsidR="004D7FCE">
                  <w:rPr>
                    <w:noProof/>
                  </w:rPr>
                  <w:drawing>
                    <wp:inline distT="0" distB="0" distL="0" distR="0">
                      <wp:extent cx="609600" cy="762000"/>
                      <wp:effectExtent l="19050" t="0" r="0" b="0"/>
                      <wp:docPr id="1" name="Imagem 1" descr="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D7FCE" w:rsidRDefault="004D7FCE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MUNICÍPIO DE SAPUCAIA DO SUL</w:t>
                </w:r>
              </w:p>
              <w:p w:rsidR="004D7FCE" w:rsidRDefault="004D7FCE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Diretoria de Compras e licitações </w:t>
                </w:r>
              </w:p>
              <w:p w:rsidR="004D7FCE" w:rsidRDefault="004D7FCE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Diretoria de Contratos</w:t>
                </w:r>
              </w:p>
              <w:p w:rsidR="004D7FCE" w:rsidRDefault="004D7FCE">
                <w:pPr>
                  <w:spacing w:line="1" w:lineRule="auto"/>
                </w:pPr>
              </w:p>
            </w:tc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D7FCE" w:rsidRDefault="004D7FCE">
                <w:pPr>
                  <w:jc w:val="right"/>
                  <w:rPr>
                    <w:vanish/>
                  </w:rPr>
                </w:pPr>
              </w:p>
              <w:tbl>
                <w:tblPr>
                  <w:tblOverlap w:val="never"/>
                  <w:tblW w:w="1660" w:type="dxa"/>
                  <w:jc w:val="right"/>
                  <w:tblInd w:w="20" w:type="dxa"/>
                  <w:tblLayout w:type="fixed"/>
                  <w:tblLook w:val="01E0"/>
                </w:tblPr>
                <w:tblGrid>
                  <w:gridCol w:w="557"/>
                  <w:gridCol w:w="412"/>
                  <w:gridCol w:w="278"/>
                  <w:gridCol w:w="413"/>
                </w:tblGrid>
                <w:tr w:rsidR="004D7FCE">
                  <w:trPr>
                    <w:jc w:val="right"/>
                  </w:trPr>
                  <w:tc>
                    <w:tcPr>
                      <w:tcW w:w="5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D7FCE" w:rsidRDefault="004D7FCE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Pág</w:t>
                      </w:r>
                      <w:proofErr w:type="spellEnd"/>
                    </w:p>
                  </w:tc>
                  <w:tc>
                    <w:tcPr>
                      <w:tcW w:w="42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D7FCE" w:rsidRDefault="00351451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D7FCE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13904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D7FCE" w:rsidRDefault="004D7FCE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42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D7FCE" w:rsidRDefault="00351451">
                      <w:pP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D7FCE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613904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 w:rsidR="004D7FCE" w:rsidRDefault="004D7FCE">
                <w:pPr>
                  <w:spacing w:line="1" w:lineRule="auto"/>
                </w:pPr>
              </w:p>
            </w:tc>
          </w:tr>
        </w:tbl>
        <w:p w:rsidR="004D7FCE" w:rsidRDefault="004D7FCE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2BD5"/>
    <w:rsid w:val="0001077F"/>
    <w:rsid w:val="00017C72"/>
    <w:rsid w:val="0004260F"/>
    <w:rsid w:val="0004596A"/>
    <w:rsid w:val="00056694"/>
    <w:rsid w:val="00057C5F"/>
    <w:rsid w:val="000738C1"/>
    <w:rsid w:val="00102469"/>
    <w:rsid w:val="0016323D"/>
    <w:rsid w:val="001D275A"/>
    <w:rsid w:val="001E3C32"/>
    <w:rsid w:val="00203396"/>
    <w:rsid w:val="00296621"/>
    <w:rsid w:val="002F076E"/>
    <w:rsid w:val="00336910"/>
    <w:rsid w:val="00351451"/>
    <w:rsid w:val="003934B0"/>
    <w:rsid w:val="003D06E9"/>
    <w:rsid w:val="003E6EF8"/>
    <w:rsid w:val="00440822"/>
    <w:rsid w:val="00476201"/>
    <w:rsid w:val="00476638"/>
    <w:rsid w:val="0049136A"/>
    <w:rsid w:val="004D7FCE"/>
    <w:rsid w:val="00532B3D"/>
    <w:rsid w:val="00534DC2"/>
    <w:rsid w:val="005669F2"/>
    <w:rsid w:val="00613904"/>
    <w:rsid w:val="00663439"/>
    <w:rsid w:val="006A409E"/>
    <w:rsid w:val="007371F4"/>
    <w:rsid w:val="007405C5"/>
    <w:rsid w:val="00760E45"/>
    <w:rsid w:val="0079726A"/>
    <w:rsid w:val="007C7BAF"/>
    <w:rsid w:val="007E2AD1"/>
    <w:rsid w:val="008002B8"/>
    <w:rsid w:val="008367D3"/>
    <w:rsid w:val="00843B4F"/>
    <w:rsid w:val="00862E51"/>
    <w:rsid w:val="00897DB6"/>
    <w:rsid w:val="008A1B19"/>
    <w:rsid w:val="008A65CC"/>
    <w:rsid w:val="00912FD3"/>
    <w:rsid w:val="009151B6"/>
    <w:rsid w:val="0094113E"/>
    <w:rsid w:val="0097772D"/>
    <w:rsid w:val="009B6C70"/>
    <w:rsid w:val="009F27C7"/>
    <w:rsid w:val="00A1045F"/>
    <w:rsid w:val="00A56A57"/>
    <w:rsid w:val="00A80677"/>
    <w:rsid w:val="00AC2825"/>
    <w:rsid w:val="00AE19D5"/>
    <w:rsid w:val="00AE2BD5"/>
    <w:rsid w:val="00B122CE"/>
    <w:rsid w:val="00B20F7B"/>
    <w:rsid w:val="00B33398"/>
    <w:rsid w:val="00B502CA"/>
    <w:rsid w:val="00C54799"/>
    <w:rsid w:val="00CA645F"/>
    <w:rsid w:val="00CB5A6F"/>
    <w:rsid w:val="00D632D1"/>
    <w:rsid w:val="00D656E6"/>
    <w:rsid w:val="00DF617E"/>
    <w:rsid w:val="00E116D4"/>
    <w:rsid w:val="00E31BDC"/>
    <w:rsid w:val="00E32123"/>
    <w:rsid w:val="00E60B41"/>
    <w:rsid w:val="00E9733E"/>
    <w:rsid w:val="00F00C46"/>
    <w:rsid w:val="00F11B39"/>
    <w:rsid w:val="00F318D3"/>
    <w:rsid w:val="00FD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E2B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439"/>
  </w:style>
  <w:style w:type="paragraph" w:styleId="Rodap">
    <w:name w:val="footer"/>
    <w:basedOn w:val="Normal"/>
    <w:link w:val="Rodap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439"/>
  </w:style>
  <w:style w:type="paragraph" w:styleId="Textodebalo">
    <w:name w:val="Balloon Text"/>
    <w:basedOn w:val="Normal"/>
    <w:link w:val="TextodebaloChar"/>
    <w:uiPriority w:val="99"/>
    <w:semiHidden/>
    <w:unhideWhenUsed/>
    <w:rsid w:val="00F318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8D3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B502CA"/>
    <w:pPr>
      <w:widowControl w:val="0"/>
      <w:autoSpaceDE w:val="0"/>
      <w:autoSpaceDN w:val="0"/>
      <w:ind w:left="1068"/>
      <w:outlineLvl w:val="1"/>
    </w:pPr>
    <w:rPr>
      <w:b/>
      <w:bCs/>
      <w:sz w:val="24"/>
      <w:szCs w:val="24"/>
      <w:lang w:val="pt-PT" w:eastAsia="en-US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502CA"/>
    <w:pPr>
      <w:ind w:left="720"/>
      <w:contextualSpacing/>
    </w:pPr>
    <w:rPr>
      <w:rFonts w:ascii="Arial" w:hAnsi="Arial"/>
      <w:sz w:val="22"/>
      <w:lang w:eastAsia="zh-CN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502CA"/>
    <w:rPr>
      <w:rFonts w:ascii="Arial" w:hAnsi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7371F4"/>
    <w:rPr>
      <w:rFonts w:ascii="Arial" w:hAnsi="Arial"/>
    </w:rPr>
  </w:style>
  <w:style w:type="paragraph" w:styleId="Corpodetexto">
    <w:name w:val="Body Text"/>
    <w:basedOn w:val="Normal"/>
    <w:link w:val="CorpodetextoChar"/>
    <w:semiHidden/>
    <w:rsid w:val="007371F4"/>
    <w:pPr>
      <w:tabs>
        <w:tab w:val="left" w:pos="4253"/>
      </w:tabs>
      <w:suppressAutoHyphens/>
      <w:spacing w:before="120" w:line="360" w:lineRule="auto"/>
      <w:jc w:val="both"/>
    </w:pPr>
    <w:rPr>
      <w:rFonts w:ascii="Arial" w:hAnsi="Arial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7371F4"/>
  </w:style>
  <w:style w:type="paragraph" w:customStyle="1" w:styleId="pspdfkit-8ayy4hjz5h5sb5mqfjxzpc42zw">
    <w:name w:val="pspdfkit-8ayy4hjz5h5sb5mqfjxzpc42zw"/>
    <w:basedOn w:val="Normal"/>
    <w:rsid w:val="00F11B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fernanda.magalhaes</dc:creator>
  <cp:lastModifiedBy>alaudelon.luiz</cp:lastModifiedBy>
  <cp:revision>2</cp:revision>
  <cp:lastPrinted>2024-08-16T17:41:00Z</cp:lastPrinted>
  <dcterms:created xsi:type="dcterms:W3CDTF">2025-01-17T15:37:00Z</dcterms:created>
  <dcterms:modified xsi:type="dcterms:W3CDTF">2025-01-17T15:37:00Z</dcterms:modified>
</cp:coreProperties>
</file>