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568" w14:textId="461AADB0" w:rsidR="00EB1F16" w:rsidRDefault="00B8058E">
      <w:pPr>
        <w:spacing w:after="280" w:line="240" w:lineRule="auto"/>
        <w:jc w:val="center"/>
      </w:pPr>
      <w:r>
        <w:rPr>
          <w:rFonts w:ascii="Arial" w:hAnsi="Arial" w:cs="Arial"/>
          <w:b/>
        </w:rPr>
        <w:t>ATA DE REGISTRO DE PREÇOS</w:t>
      </w:r>
      <w:r>
        <w:rPr>
          <w:rFonts w:ascii="Arial" w:eastAsia="Times New Roman" w:hAnsi="Arial" w:cs="Arial"/>
          <w:lang w:eastAsia="pt-BR"/>
        </w:rPr>
        <w:t xml:space="preserve">: </w:t>
      </w:r>
      <w:r w:rsidR="00644264">
        <w:rPr>
          <w:rFonts w:ascii="Arial" w:eastAsia="Times New Roman" w:hAnsi="Arial" w:cs="Arial"/>
          <w:lang w:eastAsia="pt-BR"/>
        </w:rPr>
        <w:t>--</w:t>
      </w:r>
      <w:r>
        <w:rPr>
          <w:rFonts w:ascii="Arial" w:eastAsia="Times New Roman" w:hAnsi="Arial" w:cs="Arial"/>
          <w:lang w:eastAsia="pt-BR"/>
        </w:rPr>
        <w:t>/2025</w:t>
      </w:r>
    </w:p>
    <w:p w14:paraId="1AD76ECA" w14:textId="1F31A34C" w:rsidR="00EB1F16" w:rsidRDefault="00B8058E">
      <w:pPr>
        <w:spacing w:after="280" w:line="240" w:lineRule="auto"/>
        <w:jc w:val="center"/>
      </w:pPr>
      <w:r>
        <w:rPr>
          <w:rFonts w:ascii="Arial" w:eastAsia="Times New Roman" w:hAnsi="Arial" w:cs="Arial"/>
          <w:lang w:eastAsia="pt-BR"/>
        </w:rPr>
        <w:t>Pregão Lei 14.133 Eletrônico Nº</w:t>
      </w:r>
      <w:r>
        <w:rPr>
          <w:rFonts w:ascii="Arial" w:eastAsia="Times New Roman" w:hAnsi="Arial" w:cs="Arial"/>
          <w:lang w:val="en-US" w:eastAsia="pt-BR"/>
        </w:rPr>
        <w:t xml:space="preserve"> </w:t>
      </w:r>
      <w:r>
        <w:rPr>
          <w:rFonts w:ascii="Arial" w:eastAsia="Helvetica;Arial" w:hAnsi="Arial" w:cs="Arial"/>
          <w:color w:val="333333"/>
          <w:sz w:val="18"/>
          <w:szCs w:val="18"/>
          <w:shd w:val="clear" w:color="auto" w:fill="F9F9F9"/>
          <w:lang w:eastAsia="pt-BR"/>
        </w:rPr>
        <w:t xml:space="preserve"> </w:t>
      </w:r>
      <w:r w:rsidR="00B77D34">
        <w:rPr>
          <w:rFonts w:ascii="Arial" w:eastAsia="Times New Roman" w:hAnsi="Arial" w:cs="Arial"/>
          <w:lang w:eastAsia="pt-BR"/>
        </w:rPr>
        <w:t>--</w:t>
      </w:r>
      <w:r>
        <w:rPr>
          <w:rFonts w:ascii="Arial" w:hAnsi="Arial" w:cs="Arial"/>
          <w:b/>
        </w:rPr>
        <w:t>/</w:t>
      </w:r>
      <w:r>
        <w:rPr>
          <w:rFonts w:ascii="Arial" w:eastAsia="Times New Roman" w:hAnsi="Arial" w:cs="Arial"/>
          <w:lang w:eastAsia="pt-BR"/>
        </w:rPr>
        <w:t>2025</w:t>
      </w:r>
      <w:r>
        <w:rPr>
          <w:noProof/>
        </w:rPr>
        <mc:AlternateContent>
          <mc:Choice Requires="wps">
            <w:drawing>
              <wp:inline distT="0" distB="0" distL="0" distR="0" wp14:anchorId="31CB31AE" wp14:editId="5B3DB82D">
                <wp:extent cx="5400675" cy="19685"/>
                <wp:effectExtent l="0" t="0" r="0" b="0"/>
                <wp:docPr id="1" name="Shape1"/>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55C20436" w14:textId="08C850DF" w:rsidR="00EB1F16" w:rsidRDefault="00B8058E">
      <w:pPr>
        <w:spacing w:before="280" w:after="280" w:line="240" w:lineRule="auto"/>
        <w:jc w:val="both"/>
        <w:rPr>
          <w:rFonts w:ascii="Arial" w:eastAsia="Times New Roman" w:hAnsi="Arial" w:cs="Arial"/>
          <w:lang w:eastAsia="pt-BR"/>
        </w:rPr>
      </w:pPr>
      <w:r>
        <w:rPr>
          <w:rFonts w:ascii="Arial" w:eastAsia="Times New Roman" w:hAnsi="Arial" w:cs="Arial"/>
          <w:lang w:eastAsia="pt-BR"/>
        </w:rPr>
        <w:t xml:space="preserve">O MUNICÍPIO DE SAPUCAIA DO SUL, pessoa jurídica de direito público, situado na Avenida - 1289, SANTA CATARINA, Sapucaia do Sul - RS, inscrito no CNPJ Nº. 88.185.020/0001-25, abaixo assinado, nos termos do artigo 40 da Lei Federal nº. 14.133/2021 e alterações e das demais normas legais aplicáveis, em face da classificação das propostas apresentadas para o SISTEMA DE REGISTRO DE PREÇOS da licitação </w:t>
      </w:r>
      <w:r w:rsidR="00B77D34">
        <w:rPr>
          <w:rFonts w:ascii="Arial" w:eastAsia="Times New Roman" w:hAnsi="Arial" w:cs="Arial"/>
          <w:lang w:eastAsia="pt-BR"/>
        </w:rPr>
        <w:t>--</w:t>
      </w:r>
      <w:r>
        <w:rPr>
          <w:rFonts w:ascii="Arial" w:eastAsia="Times New Roman" w:hAnsi="Arial" w:cs="Arial"/>
          <w:lang w:eastAsia="pt-BR"/>
        </w:rPr>
        <w:t>/2025, RESOLVE registrar os valores oferecidos para</w:t>
      </w:r>
      <w:r w:rsidR="00644264">
        <w:rPr>
          <w:rFonts w:ascii="Arial" w:eastAsia="Times New Roman" w:hAnsi="Arial" w:cs="Arial"/>
          <w:lang w:eastAsia="pt-BR"/>
        </w:rPr>
        <w:t xml:space="preserve"> _______</w:t>
      </w:r>
      <w:r>
        <w:rPr>
          <w:rFonts w:ascii="Arial" w:eastAsia="Times New Roman" w:hAnsi="Arial" w:cs="Arial"/>
          <w:lang w:eastAsia="pt-BR"/>
        </w:rPr>
        <w:t>, pelo período de 12 meses, conforme consta no Anexo IV do Edital da referida licitação, que passa a fazer parte desta Ata, tendo sido, os referidos valores, oferecidos pelas empresas cujas propostas foram classificadas no certame.</w:t>
      </w:r>
    </w:p>
    <w:p w14:paraId="0F287ABD" w14:textId="77777777" w:rsidR="00EB1F16" w:rsidRDefault="00B8058E">
      <w:pPr>
        <w:spacing w:after="0" w:line="240" w:lineRule="auto"/>
        <w:jc w:val="both"/>
      </w:pPr>
      <w:r>
        <w:rPr>
          <w:noProof/>
        </w:rPr>
        <mc:AlternateContent>
          <mc:Choice Requires="wps">
            <w:drawing>
              <wp:inline distT="0" distB="0" distL="0" distR="0" wp14:anchorId="69CF79A0" wp14:editId="5779E2D0">
                <wp:extent cx="5400675" cy="19685"/>
                <wp:effectExtent l="0" t="0" r="0" b="0"/>
                <wp:docPr id="2" name="Shape2"/>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2"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1EF96673"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 – DO OBJETO</w:t>
      </w:r>
    </w:p>
    <w:p w14:paraId="7CB02302" w14:textId="065AF757" w:rsidR="00EB1F16" w:rsidRPr="00644264" w:rsidRDefault="00B8058E">
      <w:pPr>
        <w:spacing w:before="280" w:after="280" w:line="240" w:lineRule="auto"/>
        <w:jc w:val="both"/>
      </w:pPr>
      <w:r>
        <w:rPr>
          <w:rFonts w:ascii="Arial" w:eastAsia="Times New Roman" w:hAnsi="Arial" w:cs="Arial"/>
          <w:b/>
          <w:bCs/>
          <w:lang w:eastAsia="pt-BR"/>
        </w:rPr>
        <w:t>1. CONTRATAÇÃO:</w:t>
      </w:r>
      <w:r>
        <w:rPr>
          <w:rFonts w:ascii="Arial" w:eastAsia="Times New Roman" w:hAnsi="Arial" w:cs="Arial"/>
          <w:b/>
          <w:bCs/>
          <w:lang w:val="en-US" w:eastAsia="pt-BR"/>
        </w:rPr>
        <w:t xml:space="preserve"> </w:t>
      </w:r>
      <w:r w:rsidR="009B3D3E" w:rsidRPr="009B3D3E">
        <w:rPr>
          <w:rFonts w:ascii="Arial" w:hAnsi="Arial" w:cs="Arial"/>
        </w:rPr>
        <w:t xml:space="preserve">registro de preços para </w:t>
      </w:r>
      <w:r w:rsidR="00070A4F">
        <w:rPr>
          <w:rFonts w:ascii="Arial" w:hAnsi="Arial" w:cs="Arial"/>
        </w:rPr>
        <w:t xml:space="preserve">AQUISIÇÃO </w:t>
      </w:r>
      <w:r w:rsidR="00070A4F" w:rsidRPr="00070A4F">
        <w:rPr>
          <w:rFonts w:ascii="Arial" w:hAnsi="Arial" w:cs="Arial"/>
        </w:rPr>
        <w:t>ITENS ALIMENTÍCIOS (HORTIFRUTIGRANJEIROS), PARA COMPOR O CARDÁPIO DA ALIMENTAÇÃO ESCOLAR, CUJO OBJETIVO É ATENDER AO PROGRAMA NACIONAL DE ALIMENTAÇÃO ESCOLAR (PNAE)</w:t>
      </w:r>
      <w:r>
        <w:rPr>
          <w:rFonts w:ascii="Arial" w:eastAsia="Times New Roman" w:hAnsi="Arial" w:cs="Arial"/>
          <w:lang w:eastAsia="pt-BR"/>
        </w:rPr>
        <w:t>, com prazo de até 12 meses podendo ser prorrogada por igual período a partir da assinatura da presente ata, através do Sistema de Registro de Preços, para uso do(a) MUNICÍPIO DE SAPUCAIA DO SUL, de acordo com as especificações e quantitativos abaixo estimados:</w:t>
      </w:r>
    </w:p>
    <w:tbl>
      <w:tblPr>
        <w:tblW w:w="9638" w:type="dxa"/>
        <w:tblLayout w:type="fixed"/>
        <w:tblCellMar>
          <w:left w:w="0" w:type="dxa"/>
          <w:right w:w="0" w:type="dxa"/>
        </w:tblCellMar>
        <w:tblLook w:val="04A0" w:firstRow="1" w:lastRow="0" w:firstColumn="1" w:lastColumn="0" w:noHBand="0" w:noVBand="1"/>
      </w:tblPr>
      <w:tblGrid>
        <w:gridCol w:w="973"/>
        <w:gridCol w:w="973"/>
        <w:gridCol w:w="973"/>
        <w:gridCol w:w="3822"/>
        <w:gridCol w:w="1448"/>
        <w:gridCol w:w="1449"/>
      </w:tblGrid>
      <w:tr w:rsidR="00EB1F16" w14:paraId="22C27593" w14:textId="77777777">
        <w:tc>
          <w:tcPr>
            <w:tcW w:w="973" w:type="dxa"/>
            <w:tcBorders>
              <w:top w:val="single" w:sz="2" w:space="0" w:color="000000"/>
              <w:left w:val="single" w:sz="2" w:space="0" w:color="000000"/>
              <w:bottom w:val="single" w:sz="2" w:space="0" w:color="000000"/>
              <w:right w:val="single" w:sz="2" w:space="0" w:color="000000"/>
            </w:tcBorders>
            <w:shd w:val="clear" w:color="auto" w:fill="C0C0C0"/>
          </w:tcPr>
          <w:p w14:paraId="0C3C07D4" w14:textId="77777777" w:rsidR="00EB1F16" w:rsidRDefault="00B8058E">
            <w:pPr>
              <w:spacing w:after="0" w:line="240" w:lineRule="auto"/>
              <w:jc w:val="center"/>
              <w:rPr>
                <w:rFonts w:ascii="Arial" w:hAnsi="Arial"/>
                <w:b/>
                <w:sz w:val="16"/>
                <w:szCs w:val="16"/>
              </w:rPr>
            </w:pPr>
            <w:r>
              <w:rPr>
                <w:rFonts w:ascii="Arial" w:hAnsi="Arial"/>
                <w:b/>
                <w:sz w:val="16"/>
                <w:szCs w:val="16"/>
              </w:rPr>
              <w:t>Item</w:t>
            </w:r>
          </w:p>
        </w:tc>
        <w:tc>
          <w:tcPr>
            <w:tcW w:w="973" w:type="dxa"/>
            <w:tcBorders>
              <w:top w:val="single" w:sz="2" w:space="0" w:color="000000"/>
              <w:left w:val="single" w:sz="2" w:space="0" w:color="000000"/>
              <w:bottom w:val="single" w:sz="2" w:space="0" w:color="000000"/>
              <w:right w:val="single" w:sz="2" w:space="0" w:color="000000"/>
            </w:tcBorders>
            <w:shd w:val="clear" w:color="auto" w:fill="C0C0C0"/>
          </w:tcPr>
          <w:p w14:paraId="76050C7B" w14:textId="77777777" w:rsidR="00EB1F16" w:rsidRDefault="00B8058E">
            <w:pPr>
              <w:spacing w:after="0" w:line="240" w:lineRule="auto"/>
              <w:jc w:val="center"/>
              <w:rPr>
                <w:rFonts w:ascii="Arial" w:hAnsi="Arial"/>
                <w:b/>
                <w:sz w:val="16"/>
                <w:szCs w:val="16"/>
              </w:rPr>
            </w:pPr>
            <w:r>
              <w:rPr>
                <w:rFonts w:ascii="Arial" w:hAnsi="Arial"/>
                <w:b/>
                <w:sz w:val="16"/>
                <w:szCs w:val="16"/>
              </w:rPr>
              <w:t>Quant</w:t>
            </w:r>
          </w:p>
        </w:tc>
        <w:tc>
          <w:tcPr>
            <w:tcW w:w="973" w:type="dxa"/>
            <w:tcBorders>
              <w:top w:val="single" w:sz="2" w:space="0" w:color="000000"/>
              <w:left w:val="single" w:sz="2" w:space="0" w:color="000000"/>
              <w:bottom w:val="single" w:sz="2" w:space="0" w:color="000000"/>
              <w:right w:val="single" w:sz="2" w:space="0" w:color="000000"/>
            </w:tcBorders>
            <w:shd w:val="clear" w:color="auto" w:fill="C0C0C0"/>
          </w:tcPr>
          <w:p w14:paraId="3ABCBAED" w14:textId="77777777" w:rsidR="00EB1F16" w:rsidRDefault="00B8058E">
            <w:pPr>
              <w:spacing w:after="0" w:line="240" w:lineRule="auto"/>
              <w:jc w:val="center"/>
              <w:rPr>
                <w:rFonts w:ascii="Arial" w:hAnsi="Arial"/>
                <w:b/>
                <w:sz w:val="16"/>
                <w:szCs w:val="16"/>
              </w:rPr>
            </w:pPr>
            <w:r>
              <w:rPr>
                <w:rFonts w:ascii="Arial" w:hAnsi="Arial"/>
                <w:b/>
                <w:sz w:val="16"/>
                <w:szCs w:val="16"/>
              </w:rPr>
              <w:t>Unid.</w:t>
            </w:r>
          </w:p>
        </w:tc>
        <w:tc>
          <w:tcPr>
            <w:tcW w:w="3822" w:type="dxa"/>
            <w:tcBorders>
              <w:top w:val="single" w:sz="2" w:space="0" w:color="000000"/>
              <w:left w:val="single" w:sz="2" w:space="0" w:color="000000"/>
              <w:bottom w:val="single" w:sz="2" w:space="0" w:color="000000"/>
              <w:right w:val="single" w:sz="2" w:space="0" w:color="000000"/>
            </w:tcBorders>
            <w:shd w:val="clear" w:color="auto" w:fill="C0C0C0"/>
          </w:tcPr>
          <w:p w14:paraId="755BF3D4" w14:textId="77777777" w:rsidR="00EB1F16" w:rsidRDefault="00B8058E">
            <w:pPr>
              <w:spacing w:after="0" w:line="240" w:lineRule="auto"/>
              <w:jc w:val="center"/>
              <w:rPr>
                <w:rFonts w:ascii="Arial" w:hAnsi="Arial"/>
                <w:b/>
                <w:sz w:val="16"/>
                <w:szCs w:val="16"/>
              </w:rPr>
            </w:pPr>
            <w:r>
              <w:rPr>
                <w:rFonts w:ascii="Arial" w:hAnsi="Arial"/>
                <w:b/>
                <w:sz w:val="16"/>
                <w:szCs w:val="16"/>
              </w:rPr>
              <w:t>Descricão</w:t>
            </w:r>
          </w:p>
        </w:tc>
        <w:tc>
          <w:tcPr>
            <w:tcW w:w="1448" w:type="dxa"/>
            <w:tcBorders>
              <w:top w:val="single" w:sz="2" w:space="0" w:color="000000"/>
              <w:left w:val="single" w:sz="2" w:space="0" w:color="000000"/>
              <w:bottom w:val="single" w:sz="2" w:space="0" w:color="000000"/>
              <w:right w:val="single" w:sz="2" w:space="0" w:color="000000"/>
            </w:tcBorders>
            <w:shd w:val="clear" w:color="auto" w:fill="C0C0C0"/>
          </w:tcPr>
          <w:p w14:paraId="63A61522" w14:textId="77777777" w:rsidR="00EB1F16" w:rsidRDefault="00B8058E">
            <w:pPr>
              <w:spacing w:after="0" w:line="240" w:lineRule="auto"/>
              <w:jc w:val="center"/>
              <w:rPr>
                <w:rFonts w:ascii="Arial" w:hAnsi="Arial"/>
                <w:b/>
                <w:sz w:val="16"/>
                <w:szCs w:val="16"/>
              </w:rPr>
            </w:pPr>
            <w:r>
              <w:rPr>
                <w:rFonts w:ascii="Arial" w:hAnsi="Arial"/>
                <w:b/>
                <w:sz w:val="16"/>
                <w:szCs w:val="16"/>
              </w:rPr>
              <w:t>Valor Unit.</w:t>
            </w:r>
          </w:p>
        </w:tc>
        <w:tc>
          <w:tcPr>
            <w:tcW w:w="1449" w:type="dxa"/>
            <w:tcBorders>
              <w:top w:val="single" w:sz="2" w:space="0" w:color="000000"/>
              <w:left w:val="single" w:sz="2" w:space="0" w:color="000000"/>
              <w:bottom w:val="single" w:sz="2" w:space="0" w:color="000000"/>
              <w:right w:val="single" w:sz="2" w:space="0" w:color="000000"/>
            </w:tcBorders>
            <w:shd w:val="clear" w:color="auto" w:fill="C0C0C0"/>
          </w:tcPr>
          <w:p w14:paraId="7585A2C6" w14:textId="77777777" w:rsidR="00EB1F16" w:rsidRDefault="00B8058E">
            <w:pPr>
              <w:spacing w:after="0" w:line="240" w:lineRule="auto"/>
              <w:jc w:val="center"/>
              <w:rPr>
                <w:rFonts w:ascii="Arial" w:hAnsi="Arial"/>
                <w:b/>
                <w:sz w:val="16"/>
                <w:szCs w:val="16"/>
              </w:rPr>
            </w:pPr>
            <w:r>
              <w:rPr>
                <w:rFonts w:ascii="Arial" w:hAnsi="Arial"/>
                <w:b/>
                <w:sz w:val="16"/>
                <w:szCs w:val="16"/>
              </w:rPr>
              <w:t>Valor Total</w:t>
            </w:r>
          </w:p>
        </w:tc>
      </w:tr>
      <w:tr w:rsidR="00EB1F16" w14:paraId="67EAE47F" w14:textId="77777777">
        <w:tc>
          <w:tcPr>
            <w:tcW w:w="973" w:type="dxa"/>
            <w:tcBorders>
              <w:top w:val="single" w:sz="2" w:space="0" w:color="000000"/>
              <w:left w:val="single" w:sz="2" w:space="0" w:color="000000"/>
              <w:bottom w:val="single" w:sz="2" w:space="0" w:color="000000"/>
              <w:right w:val="single" w:sz="2" w:space="0" w:color="000000"/>
            </w:tcBorders>
          </w:tcPr>
          <w:p w14:paraId="192554C2" w14:textId="69250443" w:rsidR="00EB1F16" w:rsidRDefault="00EB1F16">
            <w:pPr>
              <w:spacing w:after="0" w:line="240" w:lineRule="auto"/>
              <w:jc w:val="center"/>
              <w:rPr>
                <w:rFonts w:ascii="Arial" w:hAnsi="Arial"/>
                <w:sz w:val="16"/>
                <w:szCs w:val="16"/>
              </w:rPr>
            </w:pPr>
          </w:p>
        </w:tc>
        <w:tc>
          <w:tcPr>
            <w:tcW w:w="973" w:type="dxa"/>
            <w:tcBorders>
              <w:top w:val="single" w:sz="2" w:space="0" w:color="000000"/>
              <w:left w:val="single" w:sz="2" w:space="0" w:color="000000"/>
              <w:bottom w:val="single" w:sz="2" w:space="0" w:color="000000"/>
              <w:right w:val="single" w:sz="2" w:space="0" w:color="000000"/>
            </w:tcBorders>
          </w:tcPr>
          <w:p w14:paraId="48314D79" w14:textId="4C215CE6" w:rsidR="00EB1F16" w:rsidRDefault="00EB1F16">
            <w:pPr>
              <w:spacing w:after="0" w:line="240" w:lineRule="auto"/>
              <w:jc w:val="center"/>
              <w:rPr>
                <w:rFonts w:ascii="Arial" w:hAnsi="Arial"/>
                <w:sz w:val="16"/>
                <w:szCs w:val="16"/>
              </w:rPr>
            </w:pPr>
          </w:p>
        </w:tc>
        <w:tc>
          <w:tcPr>
            <w:tcW w:w="973" w:type="dxa"/>
            <w:tcBorders>
              <w:top w:val="single" w:sz="2" w:space="0" w:color="000000"/>
              <w:left w:val="single" w:sz="2" w:space="0" w:color="000000"/>
              <w:bottom w:val="single" w:sz="2" w:space="0" w:color="000000"/>
              <w:right w:val="single" w:sz="2" w:space="0" w:color="000000"/>
            </w:tcBorders>
          </w:tcPr>
          <w:p w14:paraId="2676013C" w14:textId="0DC2CE1B" w:rsidR="00EB1F16" w:rsidRDefault="00EB1F16">
            <w:pPr>
              <w:spacing w:after="0" w:line="240" w:lineRule="auto"/>
              <w:jc w:val="center"/>
              <w:rPr>
                <w:rFonts w:ascii="Arial" w:hAnsi="Arial"/>
                <w:sz w:val="16"/>
                <w:szCs w:val="16"/>
              </w:rPr>
            </w:pPr>
          </w:p>
        </w:tc>
        <w:tc>
          <w:tcPr>
            <w:tcW w:w="3822" w:type="dxa"/>
            <w:tcBorders>
              <w:top w:val="single" w:sz="2" w:space="0" w:color="000000"/>
              <w:left w:val="single" w:sz="2" w:space="0" w:color="000000"/>
              <w:bottom w:val="single" w:sz="2" w:space="0" w:color="000000"/>
              <w:right w:val="single" w:sz="2" w:space="0" w:color="000000"/>
            </w:tcBorders>
          </w:tcPr>
          <w:p w14:paraId="181A3251" w14:textId="66242F30" w:rsidR="00EB1F16" w:rsidRDefault="00EB1F16">
            <w:pPr>
              <w:spacing w:after="0" w:line="240" w:lineRule="auto"/>
              <w:rPr>
                <w:rFonts w:ascii="Arial" w:hAnsi="Arial"/>
                <w:sz w:val="16"/>
                <w:szCs w:val="16"/>
              </w:rPr>
            </w:pPr>
          </w:p>
        </w:tc>
        <w:tc>
          <w:tcPr>
            <w:tcW w:w="1448" w:type="dxa"/>
            <w:tcBorders>
              <w:top w:val="single" w:sz="2" w:space="0" w:color="000000"/>
              <w:left w:val="single" w:sz="2" w:space="0" w:color="000000"/>
              <w:bottom w:val="single" w:sz="2" w:space="0" w:color="000000"/>
              <w:right w:val="single" w:sz="2" w:space="0" w:color="000000"/>
            </w:tcBorders>
          </w:tcPr>
          <w:p w14:paraId="400906E5" w14:textId="153334C2" w:rsidR="00EB1F16" w:rsidRDefault="00EB1F16">
            <w:pPr>
              <w:spacing w:after="0" w:line="240" w:lineRule="auto"/>
              <w:jc w:val="right"/>
              <w:rPr>
                <w:rFonts w:ascii="Arial" w:hAnsi="Arial"/>
                <w:sz w:val="16"/>
                <w:szCs w:val="16"/>
              </w:rPr>
            </w:pPr>
          </w:p>
        </w:tc>
        <w:tc>
          <w:tcPr>
            <w:tcW w:w="1449" w:type="dxa"/>
            <w:tcBorders>
              <w:top w:val="single" w:sz="2" w:space="0" w:color="000000"/>
              <w:left w:val="single" w:sz="2" w:space="0" w:color="000000"/>
              <w:bottom w:val="single" w:sz="2" w:space="0" w:color="000000"/>
              <w:right w:val="single" w:sz="2" w:space="0" w:color="000000"/>
            </w:tcBorders>
          </w:tcPr>
          <w:p w14:paraId="355A653F" w14:textId="687BB4AA" w:rsidR="00EB1F16" w:rsidRDefault="00EB1F16">
            <w:pPr>
              <w:spacing w:after="0" w:line="240" w:lineRule="auto"/>
              <w:jc w:val="right"/>
              <w:rPr>
                <w:rFonts w:ascii="Arial" w:hAnsi="Arial"/>
                <w:sz w:val="16"/>
                <w:szCs w:val="16"/>
              </w:rPr>
            </w:pPr>
          </w:p>
        </w:tc>
      </w:tr>
      <w:tr w:rsidR="00EB1F16" w14:paraId="26525761" w14:textId="77777777">
        <w:tc>
          <w:tcPr>
            <w:tcW w:w="8189" w:type="dxa"/>
            <w:gridSpan w:val="5"/>
            <w:tcBorders>
              <w:top w:val="single" w:sz="2" w:space="0" w:color="000000"/>
              <w:left w:val="single" w:sz="2" w:space="0" w:color="000000"/>
              <w:bottom w:val="single" w:sz="2" w:space="0" w:color="000000"/>
              <w:right w:val="single" w:sz="2" w:space="0" w:color="000000"/>
            </w:tcBorders>
            <w:shd w:val="clear" w:color="auto" w:fill="C0C0C0"/>
          </w:tcPr>
          <w:p w14:paraId="394CC855" w14:textId="77777777" w:rsidR="00EB1F16" w:rsidRDefault="00B8058E">
            <w:pPr>
              <w:spacing w:after="0" w:line="240" w:lineRule="auto"/>
              <w:jc w:val="right"/>
              <w:rPr>
                <w:rFonts w:ascii="Arial" w:hAnsi="Arial"/>
                <w:b/>
                <w:sz w:val="16"/>
                <w:szCs w:val="16"/>
              </w:rPr>
            </w:pPr>
            <w:r>
              <w:rPr>
                <w:rFonts w:ascii="Arial" w:hAnsi="Arial"/>
                <w:b/>
                <w:sz w:val="16"/>
                <w:szCs w:val="16"/>
              </w:rPr>
              <w:t xml:space="preserve">Total Geral: R$ </w:t>
            </w:r>
          </w:p>
        </w:tc>
        <w:tc>
          <w:tcPr>
            <w:tcW w:w="1449" w:type="dxa"/>
            <w:tcBorders>
              <w:top w:val="single" w:sz="2" w:space="0" w:color="000000"/>
              <w:left w:val="single" w:sz="2" w:space="0" w:color="000000"/>
              <w:bottom w:val="single" w:sz="2" w:space="0" w:color="000000"/>
              <w:right w:val="single" w:sz="2" w:space="0" w:color="000000"/>
            </w:tcBorders>
            <w:shd w:val="clear" w:color="auto" w:fill="C0C0C0"/>
          </w:tcPr>
          <w:p w14:paraId="51AE49CE" w14:textId="6CCED4D1" w:rsidR="00EB1F16" w:rsidRDefault="00EB1F16">
            <w:pPr>
              <w:spacing w:after="0" w:line="240" w:lineRule="auto"/>
              <w:jc w:val="right"/>
              <w:rPr>
                <w:rFonts w:ascii="Arial" w:hAnsi="Arial"/>
                <w:sz w:val="16"/>
                <w:szCs w:val="16"/>
              </w:rPr>
            </w:pPr>
          </w:p>
        </w:tc>
      </w:tr>
    </w:tbl>
    <w:p w14:paraId="3FEEDB29" w14:textId="77777777" w:rsidR="00EB1F16" w:rsidRDefault="00EB1F16">
      <w:pPr>
        <w:spacing w:before="280" w:after="280" w:line="240" w:lineRule="auto"/>
        <w:jc w:val="both"/>
        <w:rPr>
          <w:rFonts w:ascii="Arial" w:eastAsia="Times New Roman" w:hAnsi="Arial" w:cs="Arial"/>
          <w:lang w:eastAsia="pt-BR"/>
        </w:rPr>
      </w:pPr>
    </w:p>
    <w:p w14:paraId="495A9334"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II – DA VALIDADE DOS PREÇOS</w:t>
      </w:r>
    </w:p>
    <w:p w14:paraId="32CE0D87" w14:textId="77777777" w:rsidR="00EB1F16" w:rsidRDefault="00B8058E">
      <w:pPr>
        <w:spacing w:before="280" w:after="280" w:line="240" w:lineRule="auto"/>
        <w:jc w:val="both"/>
      </w:pPr>
      <w:r>
        <w:rPr>
          <w:rFonts w:ascii="Arial" w:eastAsia="Times New Roman" w:hAnsi="Arial" w:cs="Arial"/>
          <w:b/>
          <w:bCs/>
          <w:lang w:eastAsia="pt-BR"/>
        </w:rPr>
        <w:t>2.</w:t>
      </w:r>
      <w:r>
        <w:rPr>
          <w:rFonts w:ascii="Arial" w:eastAsia="Times New Roman" w:hAnsi="Arial" w:cs="Arial"/>
          <w:lang w:eastAsia="pt-BR"/>
        </w:rPr>
        <w:t xml:space="preserve"> A presente Ata de Registro de Preços terá validade de 1 ano, contados a partir da sua assinatura.</w:t>
      </w:r>
    </w:p>
    <w:p w14:paraId="25E9D381" w14:textId="77777777" w:rsidR="00EB1F16" w:rsidRDefault="00B8058E">
      <w:pPr>
        <w:spacing w:before="280" w:after="280" w:line="240" w:lineRule="auto"/>
        <w:jc w:val="both"/>
      </w:pPr>
      <w:r>
        <w:rPr>
          <w:rFonts w:ascii="Arial" w:eastAsia="Times New Roman" w:hAnsi="Arial" w:cs="Arial"/>
          <w:b/>
          <w:bCs/>
          <w:lang w:eastAsia="pt-BR"/>
        </w:rPr>
        <w:t>2.1.</w:t>
      </w:r>
      <w:r>
        <w:rPr>
          <w:rFonts w:ascii="Arial" w:eastAsia="Times New Roman" w:hAnsi="Arial" w:cs="Arial"/>
          <w:lang w:eastAsia="pt-BR"/>
        </w:rPr>
        <w:t xml:space="preserve"> Durante o prazo de validade desta Ata de Registro de Preços, o Município não será obrigado a contratar o objeto referido na Cláusula I exclusivamente pelo Sistema de Registro de Preços, podendo fazê-lo através de outra licitação quando julgar conveniente, sem que caiba recurso ou indenização de qualquer espécie às empresas detentoras, ou, cancelar a Ata, na ocorrência de alguma das hipóteses legalmente previstas para tanto, garantida à detentora, neste caso, o contraditório e a ampla defesa.</w:t>
      </w:r>
    </w:p>
    <w:p w14:paraId="1663BF14" w14:textId="77777777" w:rsidR="00EB1F16" w:rsidRDefault="00B8058E">
      <w:pPr>
        <w:spacing w:after="0" w:line="240" w:lineRule="auto"/>
        <w:jc w:val="both"/>
      </w:pPr>
      <w:r>
        <w:rPr>
          <w:noProof/>
        </w:rPr>
        <mc:AlternateContent>
          <mc:Choice Requires="wps">
            <w:drawing>
              <wp:inline distT="0" distB="0" distL="0" distR="0" wp14:anchorId="79FF30C8" wp14:editId="4DFF6616">
                <wp:extent cx="5400675" cy="19685"/>
                <wp:effectExtent l="0" t="0" r="0" b="0"/>
                <wp:docPr id="3" name="Shape3"/>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3"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0BA6131F"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III – DA UTILIZAÇÃO DA ATA DE REGISTRO DE PREÇOS</w:t>
      </w:r>
    </w:p>
    <w:p w14:paraId="7D385038" w14:textId="77777777" w:rsidR="00EB1F16" w:rsidRDefault="00B8058E">
      <w:pPr>
        <w:spacing w:before="280" w:after="280" w:line="240" w:lineRule="auto"/>
        <w:jc w:val="both"/>
      </w:pPr>
      <w:r>
        <w:rPr>
          <w:rFonts w:ascii="Arial" w:eastAsia="Times New Roman" w:hAnsi="Arial" w:cs="Arial"/>
          <w:b/>
          <w:bCs/>
          <w:lang w:eastAsia="pt-BR"/>
        </w:rPr>
        <w:lastRenderedPageBreak/>
        <w:t>3.</w:t>
      </w:r>
      <w:r>
        <w:rPr>
          <w:rFonts w:ascii="Arial" w:eastAsia="Times New Roman" w:hAnsi="Arial" w:cs="Arial"/>
          <w:lang w:eastAsia="pt-BR"/>
        </w:rPr>
        <w:t xml:space="preserve"> A presente Ata de Registro de Preços será usada pelo(a) MUNICÍPIO DE SAPUCAIA DO SUL, que será o órgão gerenciador da presente Ata de Registro de Preços.</w:t>
      </w:r>
    </w:p>
    <w:p w14:paraId="746A6AE1" w14:textId="5CAD1710" w:rsidR="00EB1F16" w:rsidRDefault="00B8058E">
      <w:pPr>
        <w:spacing w:before="280" w:after="280" w:line="240" w:lineRule="auto"/>
        <w:jc w:val="both"/>
        <w:rPr>
          <w:rFonts w:ascii="Arial" w:eastAsia="Times New Roman" w:hAnsi="Arial" w:cs="Arial"/>
          <w:lang w:eastAsia="pt-BR"/>
        </w:rPr>
      </w:pPr>
      <w:r>
        <w:rPr>
          <w:rFonts w:ascii="Arial" w:eastAsia="Times New Roman" w:hAnsi="Arial" w:cs="Arial"/>
          <w:lang w:eastAsia="pt-BR"/>
        </w:rPr>
        <w:t>3.1. O valor ofertado pelas empresas signatárias da presente Ata de Registro de Preços é o relacionado na Cláusula Primeira, de acordo com a respectiva classificação no(a) Pregão Lei 14.133 Eletrônico Nº.</w:t>
      </w:r>
      <w:r w:rsidR="00070A4F">
        <w:rPr>
          <w:rFonts w:ascii="Arial" w:eastAsia="Times New Roman" w:hAnsi="Arial" w:cs="Arial"/>
          <w:lang w:eastAsia="pt-BR"/>
        </w:rPr>
        <w:t xml:space="preserve"> --</w:t>
      </w:r>
      <w:r>
        <w:rPr>
          <w:rFonts w:ascii="Arial" w:eastAsia="Times New Roman" w:hAnsi="Arial" w:cs="Arial"/>
          <w:lang w:eastAsia="pt-BR"/>
        </w:rPr>
        <w:t>/2025</w:t>
      </w:r>
    </w:p>
    <w:p w14:paraId="3193215E" w14:textId="12345CC0" w:rsidR="00EB1F16" w:rsidRDefault="00B8058E">
      <w:pPr>
        <w:spacing w:before="280" w:after="280" w:line="240" w:lineRule="auto"/>
        <w:jc w:val="both"/>
      </w:pPr>
      <w:r>
        <w:rPr>
          <w:rFonts w:ascii="Arial" w:eastAsia="Times New Roman" w:hAnsi="Arial" w:cs="Arial"/>
          <w:b/>
          <w:bCs/>
          <w:lang w:eastAsia="pt-BR"/>
        </w:rPr>
        <w:t>3.2.</w:t>
      </w:r>
      <w:r>
        <w:rPr>
          <w:rFonts w:ascii="Arial" w:eastAsia="Times New Roman" w:hAnsi="Arial" w:cs="Arial"/>
          <w:lang w:eastAsia="pt-BR"/>
        </w:rPr>
        <w:t xml:space="preserve"> Em cada fornecimento de serviço(s) decorrente desta Ata, serão observadas as cláusulas e condições constantes do Edital de Pregão Lei 14.133 Eletrônico Nº. </w:t>
      </w:r>
      <w:r w:rsidR="00070A4F">
        <w:rPr>
          <w:rFonts w:ascii="Arial" w:eastAsia="Times New Roman" w:hAnsi="Arial" w:cs="Arial"/>
          <w:lang w:eastAsia="pt-BR"/>
        </w:rPr>
        <w:t>--</w:t>
      </w:r>
      <w:r>
        <w:rPr>
          <w:rFonts w:ascii="Arial" w:eastAsia="Times New Roman" w:hAnsi="Arial" w:cs="Arial"/>
          <w:lang w:eastAsia="pt-BR"/>
        </w:rPr>
        <w:t>/2025  e seus Anexos, que a precederam e integram o presente instrumento de compromisso.</w:t>
      </w:r>
    </w:p>
    <w:p w14:paraId="7473CEB7" w14:textId="77777777" w:rsidR="00EB1F16" w:rsidRDefault="00B8058E">
      <w:pPr>
        <w:spacing w:after="0" w:line="240" w:lineRule="auto"/>
        <w:jc w:val="both"/>
      </w:pPr>
      <w:r>
        <w:rPr>
          <w:noProof/>
        </w:rPr>
        <mc:AlternateContent>
          <mc:Choice Requires="wps">
            <w:drawing>
              <wp:inline distT="0" distB="0" distL="0" distR="0" wp14:anchorId="59FC3687" wp14:editId="3BC4BF65">
                <wp:extent cx="5400675" cy="19685"/>
                <wp:effectExtent l="0" t="0" r="0" b="0"/>
                <wp:docPr id="4" name="Shape4"/>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4"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19CE2BD5"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IV – DO VALOR</w:t>
      </w:r>
    </w:p>
    <w:p w14:paraId="15744CD8" w14:textId="009AFF55" w:rsidR="00EB1F16" w:rsidRDefault="00B8058E">
      <w:pPr>
        <w:spacing w:after="280" w:line="240" w:lineRule="auto"/>
        <w:jc w:val="both"/>
      </w:pPr>
      <w:r>
        <w:rPr>
          <w:rFonts w:ascii="Arial" w:eastAsia="Times New Roman" w:hAnsi="Arial" w:cs="Arial"/>
          <w:b/>
          <w:bCs/>
          <w:lang w:eastAsia="pt-BR"/>
        </w:rPr>
        <w:t>4.</w:t>
      </w:r>
      <w:r>
        <w:rPr>
          <w:rFonts w:ascii="Arial" w:eastAsia="Times New Roman" w:hAnsi="Arial" w:cs="Arial"/>
          <w:lang w:eastAsia="pt-BR"/>
        </w:rPr>
        <w:t xml:space="preserve"> O valor Global desta ATA é de R$ </w:t>
      </w:r>
      <w:r w:rsidR="00644264">
        <w:rPr>
          <w:rFonts w:ascii="Arial" w:eastAsia="Times New Roman" w:hAnsi="Arial" w:cs="Arial"/>
          <w:lang w:eastAsia="pt-BR"/>
        </w:rPr>
        <w:t>__________</w:t>
      </w:r>
      <w:r>
        <w:rPr>
          <w:noProof/>
        </w:rPr>
        <mc:AlternateContent>
          <mc:Choice Requires="wps">
            <w:drawing>
              <wp:inline distT="0" distB="0" distL="0" distR="0" wp14:anchorId="05EF642E" wp14:editId="4BE2EE0F">
                <wp:extent cx="5400675" cy="19685"/>
                <wp:effectExtent l="0" t="0" r="0" b="0"/>
                <wp:docPr id="5" name="Shape5"/>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5"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29B4B25E"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 – DAS CONDIÇÕES DE FORNECIMENTO, LOCAL E PRAZO DE ENTREGA</w:t>
      </w:r>
    </w:p>
    <w:p w14:paraId="142B86F5" w14:textId="77777777" w:rsidR="00EB1F16" w:rsidRDefault="00B8058E">
      <w:pPr>
        <w:spacing w:before="280" w:after="280" w:line="240" w:lineRule="auto"/>
        <w:jc w:val="both"/>
      </w:pPr>
      <w:r>
        <w:rPr>
          <w:rFonts w:ascii="Arial" w:eastAsia="Times New Roman" w:hAnsi="Arial" w:cs="Arial"/>
          <w:b/>
          <w:bCs/>
          <w:lang w:eastAsia="pt-BR"/>
        </w:rPr>
        <w:t>5.</w:t>
      </w:r>
      <w:r>
        <w:rPr>
          <w:rFonts w:ascii="Arial" w:eastAsia="Times New Roman" w:hAnsi="Arial" w:cs="Arial"/>
          <w:lang w:eastAsia="pt-BR"/>
        </w:rPr>
        <w:t xml:space="preserve"> Os itens licitados deverão ser entregues dentro do mesmo período e a contratada deverá estar apta a entregar o material assim que for assinada a ata de registro de preço, independente da quantidade solicitada.</w:t>
      </w:r>
    </w:p>
    <w:p w14:paraId="64E5316E"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5.1. Local de entrega:</w:t>
      </w:r>
    </w:p>
    <w:p w14:paraId="47A62D4A" w14:textId="77777777" w:rsidR="00EB1F16" w:rsidRDefault="00B8058E">
      <w:pPr>
        <w:tabs>
          <w:tab w:val="left" w:pos="720"/>
        </w:tabs>
        <w:spacing w:before="280" w:after="280" w:line="240" w:lineRule="auto"/>
        <w:jc w:val="both"/>
      </w:pPr>
      <w:r>
        <w:rPr>
          <w:rFonts w:ascii="Arial" w:eastAsia="Times New Roman" w:hAnsi="Arial" w:cs="Arial"/>
          <w:b/>
          <w:bCs/>
          <w:lang w:eastAsia="pt-BR"/>
        </w:rPr>
        <w:t>5.1.1.</w:t>
      </w:r>
      <w:r>
        <w:rPr>
          <w:rFonts w:ascii="Arial" w:eastAsia="Times New Roman" w:hAnsi="Arial" w:cs="Arial"/>
          <w:lang w:eastAsia="pt-BR"/>
        </w:rPr>
        <w:t xml:space="preserve"> A empresa fica obrigada a entregar a quantidade requerida pela Administração, conforme estabelecido na ordem de compra, a qual deverá ser emitida pelo setor responsável.</w:t>
      </w:r>
      <w:r>
        <w:rPr>
          <w:rFonts w:ascii="Arial" w:eastAsia="Times New Roman" w:hAnsi="Arial" w:cs="Arial"/>
          <w:lang w:eastAsia="pt-BR"/>
        </w:rPr>
        <w:br/>
      </w:r>
      <w:r>
        <w:rPr>
          <w:rFonts w:ascii="Arial" w:eastAsia="Times New Roman" w:hAnsi="Arial" w:cs="Arial"/>
          <w:b/>
          <w:bCs/>
          <w:lang w:eastAsia="pt-BR"/>
        </w:rPr>
        <w:t>5.1.2.</w:t>
      </w:r>
      <w:r>
        <w:rPr>
          <w:rFonts w:ascii="Arial" w:eastAsia="Times New Roman" w:hAnsi="Arial" w:cs="Arial"/>
          <w:lang w:eastAsia="pt-BR"/>
        </w:rPr>
        <w:t xml:space="preserve"> Os materiais deverão ser entregues conforme estabelecido no Termo de Referência (Anexo II).</w:t>
      </w:r>
    </w:p>
    <w:p w14:paraId="4D24520A" w14:textId="77777777" w:rsidR="00EB1F16" w:rsidRDefault="00B8058E">
      <w:pPr>
        <w:spacing w:after="0" w:line="240" w:lineRule="auto"/>
        <w:jc w:val="both"/>
      </w:pPr>
      <w:r>
        <w:rPr>
          <w:noProof/>
        </w:rPr>
        <mc:AlternateContent>
          <mc:Choice Requires="wps">
            <w:drawing>
              <wp:inline distT="0" distB="0" distL="0" distR="0" wp14:anchorId="5BD39BE0" wp14:editId="600FC5D4">
                <wp:extent cx="5400675" cy="19685"/>
                <wp:effectExtent l="0" t="0" r="0" b="0"/>
                <wp:docPr id="6" name="Shape6"/>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6"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056C2187"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VI – DAS PENALIDADES</w:t>
      </w:r>
    </w:p>
    <w:p w14:paraId="204EEDFE"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6. A recusa injustificada da empresa com proposta classificada na licitação e indicada para registro dos respectivos preços ensejará a aplicação das penalidades enunciadas no artigo 156 da Lei Federal nº. 14.133/2021 e alterações.</w:t>
      </w:r>
    </w:p>
    <w:p w14:paraId="0F0CFAB9"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6.1.1 Impedimento para registro na Ata, se concluída a fase licitatória;</w:t>
      </w:r>
      <w:r>
        <w:rPr>
          <w:rFonts w:ascii="Arial" w:eastAsia="Times New Roman" w:hAnsi="Arial" w:cs="Arial"/>
          <w:bCs/>
          <w:lang w:eastAsia="pt-BR"/>
        </w:rPr>
        <w:br/>
        <w:t>6.1.2 Cancelamento do registro na Ata;</w:t>
      </w:r>
      <w:r>
        <w:rPr>
          <w:rFonts w:ascii="Arial" w:eastAsia="Times New Roman" w:hAnsi="Arial" w:cs="Arial"/>
          <w:bCs/>
          <w:lang w:eastAsia="pt-BR"/>
        </w:rPr>
        <w:br/>
        <w:t>6.1.3 Advertência e anotação restritiva no Cadastro de Fornecedores;</w:t>
      </w:r>
      <w:r>
        <w:rPr>
          <w:rFonts w:ascii="Arial" w:eastAsia="Times New Roman" w:hAnsi="Arial" w:cs="Arial"/>
          <w:bCs/>
          <w:lang w:eastAsia="pt-BR"/>
        </w:rPr>
        <w:br/>
        <w:t>6.1.4 Multa de 10% (dez por cento) do valor estimado da contratação;</w:t>
      </w:r>
      <w:r>
        <w:rPr>
          <w:rFonts w:ascii="Arial" w:eastAsia="Times New Roman" w:hAnsi="Arial" w:cs="Arial"/>
          <w:bCs/>
          <w:lang w:eastAsia="pt-BR"/>
        </w:rPr>
        <w:br/>
        <w:t>6.1.5 Suspensão temporária do direito de licitar ou de contratar com a Administração Pública, pelo prazo de até 05 (cinco) anos ou enquanto perdurarem os motivos determinantes da punição ou, ainda, até que seja promovida a reabilitação perante a autoridade que aplicou a penalidade.</w:t>
      </w:r>
      <w:r>
        <w:rPr>
          <w:rFonts w:ascii="Arial" w:eastAsia="Times New Roman" w:hAnsi="Arial" w:cs="Arial"/>
          <w:bCs/>
          <w:lang w:eastAsia="pt-BR"/>
        </w:rPr>
        <w:br/>
        <w:t>6.1.6 Declaração de inidoneidade para licitar ou contratar com a Administração Pública.</w:t>
      </w:r>
      <w:r>
        <w:rPr>
          <w:rFonts w:ascii="Arial" w:eastAsia="Times New Roman" w:hAnsi="Arial" w:cs="Arial"/>
          <w:bCs/>
          <w:lang w:eastAsia="pt-BR"/>
        </w:rPr>
        <w:br/>
        <w:t>6.2 A aplicação das penalidades ocorrerá depois de defesa prévia do interessado, no prazo estabelecido na Lei de Licitações, a contar da intimação do ato.</w:t>
      </w:r>
      <w:r>
        <w:rPr>
          <w:rFonts w:ascii="Arial" w:eastAsia="Times New Roman" w:hAnsi="Arial" w:cs="Arial"/>
          <w:bCs/>
          <w:lang w:eastAsia="pt-BR"/>
        </w:rPr>
        <w:br/>
        <w:t xml:space="preserve">6.3 Não será aplicada multa se, comprovadamente, o atraso do atendimento, advir de </w:t>
      </w:r>
      <w:r>
        <w:rPr>
          <w:rFonts w:ascii="Arial" w:eastAsia="Times New Roman" w:hAnsi="Arial" w:cs="Arial"/>
          <w:bCs/>
          <w:lang w:eastAsia="pt-BR"/>
        </w:rPr>
        <w:lastRenderedPageBreak/>
        <w:t>caso fortuito ou motivo de força maior.</w:t>
      </w:r>
      <w:r>
        <w:rPr>
          <w:rFonts w:ascii="Arial" w:eastAsia="Times New Roman" w:hAnsi="Arial" w:cs="Arial"/>
          <w:bCs/>
          <w:lang w:eastAsia="pt-BR"/>
        </w:rPr>
        <w:br/>
        <w:t>6.4 O descumprimento total ou parcial das obrigações assumidas pelo fornecedor no momento da execução da Ata de Registro de Preços, sem justificativa aceita pelo órgão ou entidade usuária, resguardados os procedimentos legais pertinentes, poderá acarretar, isolada ou cumulativamente, nas seguintes sanções:</w:t>
      </w:r>
      <w:r>
        <w:rPr>
          <w:rFonts w:ascii="Arial" w:eastAsia="Times New Roman" w:hAnsi="Arial" w:cs="Arial"/>
          <w:bCs/>
          <w:lang w:eastAsia="pt-BR"/>
        </w:rPr>
        <w:br/>
        <w:t>6.4.1 Advertência;</w:t>
      </w:r>
      <w:r>
        <w:rPr>
          <w:rFonts w:ascii="Arial" w:eastAsia="Times New Roman" w:hAnsi="Arial" w:cs="Arial"/>
          <w:bCs/>
          <w:lang w:eastAsia="pt-BR"/>
        </w:rPr>
        <w:br/>
        <w:t>6.4.2 Multa de 10% (dez por cento) sobre o valor estimado total do contrato, em caso de recusa do 1.º colocada de cada item em assinar a Ata de Registro de Preços.</w:t>
      </w:r>
      <w:r>
        <w:rPr>
          <w:rFonts w:ascii="Arial" w:eastAsia="Times New Roman" w:hAnsi="Arial" w:cs="Arial"/>
          <w:bCs/>
          <w:lang w:eastAsia="pt-BR"/>
        </w:rPr>
        <w:br/>
        <w:t>6.4.3 Multa de 10% (dez por cento) por dia de inadimplência, até o trigésimo dia de fornecimento incompleto ou em atraso, incidentes sobre o valor estimado mensal da contratação, além do desconto do valor correspondente ao serviço não realizado pela detentora da Ata.</w:t>
      </w:r>
      <w:r>
        <w:rPr>
          <w:rFonts w:ascii="Arial" w:eastAsia="Times New Roman" w:hAnsi="Arial" w:cs="Arial"/>
          <w:bCs/>
          <w:lang w:eastAsia="pt-BR"/>
        </w:rPr>
        <w:br/>
        <w:t>6.4.4 Suspensão temporária do direito de participar de licitação e de fornecer à Administração Pública, por prazo de até 05 (cinco) anos;</w:t>
      </w:r>
      <w:r>
        <w:rPr>
          <w:rFonts w:ascii="Arial" w:eastAsia="Times New Roman" w:hAnsi="Arial" w:cs="Arial"/>
          <w:bCs/>
          <w:lang w:eastAsia="pt-BR"/>
        </w:rPr>
        <w:br/>
        <w:t>6.5 Em qualquer hipótese de aplicação de penalidades será assegurado ao fornecedor o contraditório e ampla defesa.</w:t>
      </w:r>
      <w:r>
        <w:rPr>
          <w:rFonts w:ascii="Arial" w:eastAsia="Times New Roman" w:hAnsi="Arial" w:cs="Arial"/>
          <w:bCs/>
          <w:lang w:eastAsia="pt-BR"/>
        </w:rPr>
        <w:br/>
        <w:t>6.6 A aplicação das sanções previstas nesta Ata não exclui a possibilidade de aplicação de outras, previstas em Lei, inclusive responsabilização do fornecedor por eventuais perdas e danos causados à Administração.</w:t>
      </w:r>
      <w:r>
        <w:rPr>
          <w:rFonts w:ascii="Arial" w:eastAsia="Times New Roman" w:hAnsi="Arial" w:cs="Arial"/>
          <w:bCs/>
          <w:lang w:eastAsia="pt-BR"/>
        </w:rPr>
        <w:br/>
        <w:t>6.7 As importâncias relativas a multas serão descontadas dos pagamentos a serem efetuados à detentora da Ata, podendo, entretanto, conforme o caso, processar-se a cobrança judicialmente.</w:t>
      </w:r>
      <w:r>
        <w:rPr>
          <w:rFonts w:ascii="Arial" w:eastAsia="Times New Roman" w:hAnsi="Arial" w:cs="Arial"/>
          <w:bCs/>
          <w:lang w:eastAsia="pt-BR"/>
        </w:rPr>
        <w:br/>
        <w:t>6.8 As penalidades serão aplicadas sem prejuízo das demais sanções cabíveis, sejam estas administrativas ou penais, previstas na Lei nº. 14.133/2021 e alterações</w:t>
      </w:r>
    </w:p>
    <w:p w14:paraId="7FFB4FB0" w14:textId="77777777" w:rsidR="00EB1F16" w:rsidRDefault="00B8058E">
      <w:pPr>
        <w:spacing w:after="0" w:line="240" w:lineRule="auto"/>
        <w:jc w:val="both"/>
      </w:pPr>
      <w:r>
        <w:rPr>
          <w:noProof/>
        </w:rPr>
        <mc:AlternateContent>
          <mc:Choice Requires="wps">
            <w:drawing>
              <wp:inline distT="0" distB="0" distL="0" distR="0" wp14:anchorId="58252D9B" wp14:editId="25537A1D">
                <wp:extent cx="5400675" cy="19685"/>
                <wp:effectExtent l="0" t="0" r="0" b="0"/>
                <wp:docPr id="7" name="Shape7"/>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7"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672D13E3"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VII – DO REAJUSTAMENTO DE PREÇOS</w:t>
      </w:r>
    </w:p>
    <w:p w14:paraId="4760DC88" w14:textId="77777777" w:rsidR="00EB1F16" w:rsidRDefault="00B8058E">
      <w:pPr>
        <w:spacing w:after="0" w:line="240" w:lineRule="auto"/>
        <w:jc w:val="both"/>
      </w:pPr>
      <w:r>
        <w:rPr>
          <w:rFonts w:ascii="Arial" w:eastAsia="Times New Roman" w:hAnsi="Arial" w:cs="Arial"/>
          <w:b/>
          <w:bCs/>
          <w:lang w:eastAsia="pt-BR"/>
        </w:rPr>
        <w:t xml:space="preserve">7. </w:t>
      </w:r>
      <w:r>
        <w:rPr>
          <w:rFonts w:ascii="Arial" w:eastAsia="Times New Roman" w:hAnsi="Arial" w:cs="Arial"/>
          <w:bCs/>
          <w:lang w:eastAsia="pt-BR"/>
        </w:rPr>
        <w:t>Considerando o disposto no artigo 82, §5º, inciso IV e artigo 84 da Lei 14.133/2021, em caso de eventual prorrogação da vigência da presente ata de registros de preços, os preços poderão ser atualizados com base no acumulado do índice inflacionário IGP-M no período de vigência original.</w:t>
      </w:r>
    </w:p>
    <w:p w14:paraId="69F92AEA" w14:textId="77777777" w:rsidR="00EB1F16" w:rsidRDefault="00EB1F16">
      <w:pPr>
        <w:spacing w:after="0" w:line="240" w:lineRule="auto"/>
        <w:jc w:val="both"/>
        <w:rPr>
          <w:rFonts w:ascii="Arial" w:eastAsia="Times New Roman" w:hAnsi="Arial" w:cs="Arial"/>
          <w:bCs/>
          <w:lang w:eastAsia="pt-BR"/>
        </w:rPr>
      </w:pPr>
    </w:p>
    <w:p w14:paraId="16F04739" w14:textId="77777777" w:rsidR="00EB1F16" w:rsidRDefault="00B8058E">
      <w:pPr>
        <w:spacing w:after="0" w:line="240" w:lineRule="auto"/>
        <w:jc w:val="both"/>
      </w:pPr>
      <w:r>
        <w:rPr>
          <w:rFonts w:ascii="Arial" w:eastAsia="Times New Roman" w:hAnsi="Arial" w:cs="Arial"/>
          <w:b/>
          <w:bCs/>
          <w:lang w:eastAsia="pt-BR"/>
        </w:rPr>
        <w:t xml:space="preserve">7.1 </w:t>
      </w:r>
      <w:r>
        <w:rPr>
          <w:rFonts w:ascii="Arial" w:eastAsia="Times New Roman" w:hAnsi="Arial" w:cs="Arial"/>
          <w:bCs/>
          <w:lang w:eastAsia="pt-BR"/>
        </w:rPr>
        <w:t>Fica ressalvada a possibilidade de alteração das condições para a concessão de reajustes em face da superveniência de normas federais aplicáveis à espécie.</w:t>
      </w:r>
    </w:p>
    <w:p w14:paraId="1AE924FC" w14:textId="77777777" w:rsidR="00EB1F16" w:rsidRDefault="00B8058E">
      <w:pPr>
        <w:spacing w:after="0" w:line="240" w:lineRule="auto"/>
        <w:jc w:val="both"/>
      </w:pPr>
      <w:r>
        <w:rPr>
          <w:rFonts w:ascii="Arial" w:eastAsia="Times New Roman" w:hAnsi="Arial" w:cs="Arial"/>
          <w:b/>
          <w:bCs/>
          <w:lang w:eastAsia="pt-BR"/>
        </w:rPr>
        <w:t xml:space="preserve">7.2 </w:t>
      </w:r>
      <w:r>
        <w:rPr>
          <w:rFonts w:ascii="Arial" w:eastAsia="Times New Roman" w:hAnsi="Arial" w:cs="Arial"/>
          <w:bCs/>
          <w:lang w:eastAsia="pt-BR"/>
        </w:rPr>
        <w:t>Se no decorrer dos fornecimentos oriundos da Ata de Registro de Preços, ficar comprovado que os preços registrados são incompatíveis com os fixados por órgãos oficiais ou com os praticados no mercado, a Administração reserva-se o direito de aplicar o disposto no artigo 75, inciso III, alínea b da Lei nº. 14.133/2021 e alterações, efetuando a compra direta, por valor não superior ao constante da Ata de Registro de Preços. Tal comprovação será feita através de tabelas oficiais e/ou cotações de mercado.</w:t>
      </w:r>
      <w:r>
        <w:rPr>
          <w:rFonts w:ascii="Arial" w:eastAsia="Times New Roman" w:hAnsi="Arial" w:cs="Arial"/>
          <w:bCs/>
          <w:lang w:eastAsia="pt-BR"/>
        </w:rPr>
        <w:br/>
      </w:r>
      <w:r>
        <w:rPr>
          <w:noProof/>
        </w:rPr>
        <mc:AlternateContent>
          <mc:Choice Requires="wps">
            <w:drawing>
              <wp:inline distT="0" distB="0" distL="0" distR="0" wp14:anchorId="0E80661B" wp14:editId="6ED9DCCB">
                <wp:extent cx="5400675" cy="19685"/>
                <wp:effectExtent l="0" t="0" r="0" b="0"/>
                <wp:docPr id="8" name="Shape8"/>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8"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7D3C91C3"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VIII – DO CANCELAMENTO DA ATA DE REGISTRO DE PREÇOS</w:t>
      </w:r>
    </w:p>
    <w:p w14:paraId="17B0EB37"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8. A Ata de Registro de Preços poderá ser cancelada, de pleno direito:</w:t>
      </w:r>
    </w:p>
    <w:p w14:paraId="793C5CBE"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8.1 Pela Administração Municipal, quando:</w:t>
      </w:r>
    </w:p>
    <w:p w14:paraId="1BBED4F8"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8.1.1 A detentora não cumprir as obrigações constantes desta Ata de Registro de Preços;</w:t>
      </w:r>
      <w:r>
        <w:rPr>
          <w:rFonts w:ascii="Arial" w:eastAsia="Times New Roman" w:hAnsi="Arial" w:cs="Arial"/>
          <w:bCs/>
          <w:lang w:eastAsia="pt-BR"/>
        </w:rPr>
        <w:br/>
        <w:t xml:space="preserve">8.1.2 A detentora não retirar a Nota de Empenho no prazo estabelecido e a </w:t>
      </w:r>
      <w:r>
        <w:rPr>
          <w:rFonts w:ascii="Arial" w:eastAsia="Times New Roman" w:hAnsi="Arial" w:cs="Arial"/>
          <w:bCs/>
          <w:lang w:eastAsia="pt-BR"/>
        </w:rPr>
        <w:lastRenderedPageBreak/>
        <w:t>Administração não aceitar sua justificativa;</w:t>
      </w:r>
      <w:r>
        <w:rPr>
          <w:rFonts w:ascii="Arial" w:eastAsia="Times New Roman" w:hAnsi="Arial" w:cs="Arial"/>
          <w:bCs/>
          <w:lang w:eastAsia="pt-BR"/>
        </w:rPr>
        <w:br/>
        <w:t>8.1.3 A detentora der causa a rescisão administrativa de contrato decorrente de registro de preços;</w:t>
      </w:r>
      <w:r>
        <w:rPr>
          <w:rFonts w:ascii="Arial" w:eastAsia="Times New Roman" w:hAnsi="Arial" w:cs="Arial"/>
          <w:bCs/>
          <w:lang w:eastAsia="pt-BR"/>
        </w:rPr>
        <w:br/>
        <w:t>8.1.4 Em qualquer das hipóteses de recusa na entrega total ou parcial de contrato decorrente de registro de preços;</w:t>
      </w:r>
      <w:r>
        <w:rPr>
          <w:rFonts w:ascii="Arial" w:eastAsia="Times New Roman" w:hAnsi="Arial" w:cs="Arial"/>
          <w:bCs/>
          <w:lang w:eastAsia="pt-BR"/>
        </w:rPr>
        <w:br/>
        <w:t>8.1.5 Os preços registrados se apresentarem superiores aos praticados no mercado;</w:t>
      </w:r>
      <w:r>
        <w:rPr>
          <w:rFonts w:ascii="Arial" w:eastAsia="Times New Roman" w:hAnsi="Arial" w:cs="Arial"/>
          <w:bCs/>
          <w:lang w:eastAsia="pt-BR"/>
        </w:rPr>
        <w:br/>
        <w:t>8.1.6 Por razões de interesse público devidamente demonstradas e justificadas pela Administração;</w:t>
      </w:r>
      <w:r>
        <w:rPr>
          <w:rFonts w:ascii="Arial" w:eastAsia="Times New Roman" w:hAnsi="Arial" w:cs="Arial"/>
          <w:bCs/>
          <w:lang w:eastAsia="pt-BR"/>
        </w:rPr>
        <w:br/>
        <w:t>8.2 No caso de ser ignorado, incerto ou inacessível o endereço da detentora, a comunicação será feita por publicação na Imprensa Oficial, considerando-se cancelado o preço registrado após 01(um) dia da publicação.</w:t>
      </w:r>
      <w:r>
        <w:rPr>
          <w:rFonts w:ascii="Arial" w:eastAsia="Times New Roman" w:hAnsi="Arial" w:cs="Arial"/>
          <w:bCs/>
          <w:lang w:eastAsia="pt-BR"/>
        </w:rPr>
        <w:br/>
        <w:t>8.3 Pelas detentoras, quando, mediante solicitação por escrito, comprovarem estar impossibilitadas de cumprir as exigências desta Ata de Registro de Preços.</w:t>
      </w:r>
      <w:r>
        <w:rPr>
          <w:rFonts w:ascii="Arial" w:eastAsia="Times New Roman" w:hAnsi="Arial" w:cs="Arial"/>
          <w:bCs/>
          <w:lang w:eastAsia="pt-BR"/>
        </w:rPr>
        <w:br/>
        <w:t>8.4 A solicitação das detentoras para cancelamento dos preços registrados deverá ser formulada com a antecedência de 30 (trinta) dias, cabendo a Administração a aplicação das penalidades previstas em lei.</w:t>
      </w:r>
    </w:p>
    <w:p w14:paraId="02FCEFF6" w14:textId="77777777" w:rsidR="00EB1F16" w:rsidRDefault="00B8058E">
      <w:pPr>
        <w:spacing w:after="280" w:line="240" w:lineRule="auto"/>
        <w:jc w:val="both"/>
      </w:pPr>
      <w:r>
        <w:rPr>
          <w:noProof/>
        </w:rPr>
        <mc:AlternateContent>
          <mc:Choice Requires="wps">
            <w:drawing>
              <wp:inline distT="0" distB="0" distL="0" distR="0" wp14:anchorId="36F8406C" wp14:editId="6CCC3FA1">
                <wp:extent cx="5400675" cy="19685"/>
                <wp:effectExtent l="0" t="0" r="0" b="0"/>
                <wp:docPr id="9" name="Shape9"/>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9"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3C8E56E2"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IX – DA AUTORIZAÇÃO PARA CONTRATAÇÃO E EMISSÃO DAS NOTAS DE EMPENHO</w:t>
      </w:r>
    </w:p>
    <w:p w14:paraId="3BA7DD84"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9. O fornecimento do objeto da presente Ata de Registro de Preços será autorizado, caso a caso, pelo(a) MUNICÍPIO DE SAPUCAIA DO SUL, que é o órgão gerenciador da mesma e também pela unidade financeira competente para os pagamentos.</w:t>
      </w:r>
    </w:p>
    <w:p w14:paraId="31E9F163"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9.1 A emissão dos pedidos, sua retificação ou cancelamento, autorizados pelo órgão requisitante total ou parcial, serão igualmente, quando da solicitação.</w:t>
      </w:r>
    </w:p>
    <w:p w14:paraId="76DE3409" w14:textId="77777777" w:rsidR="00EB1F16" w:rsidRDefault="00EB1F16">
      <w:pPr>
        <w:spacing w:after="0" w:line="240" w:lineRule="auto"/>
        <w:jc w:val="both"/>
        <w:rPr>
          <w:rFonts w:ascii="Arial" w:eastAsia="Times New Roman" w:hAnsi="Arial" w:cs="Arial"/>
          <w:lang w:eastAsia="pt-BR"/>
        </w:rPr>
      </w:pPr>
    </w:p>
    <w:p w14:paraId="457F2BA4" w14:textId="77777777" w:rsidR="00EB1F16" w:rsidRDefault="00B8058E">
      <w:pPr>
        <w:spacing w:after="0" w:line="240" w:lineRule="auto"/>
        <w:jc w:val="both"/>
      </w:pPr>
      <w:r>
        <w:rPr>
          <w:noProof/>
        </w:rPr>
        <mc:AlternateContent>
          <mc:Choice Requires="wps">
            <w:drawing>
              <wp:inline distT="0" distB="0" distL="0" distR="0" wp14:anchorId="72B1FFDE" wp14:editId="31B1D592">
                <wp:extent cx="5400675" cy="19685"/>
                <wp:effectExtent l="0" t="0" r="0" b="0"/>
                <wp:docPr id="10" name="Shape10"/>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0"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3AB9FB7C"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X – DAS OBRIGAÇÕES DA CONTRATANTE</w:t>
      </w:r>
    </w:p>
    <w:p w14:paraId="0BF193C6"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10. Compete à Contratante:</w:t>
      </w:r>
    </w:p>
    <w:p w14:paraId="4DBED098"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10.1 Fazer o pedido no prazo de 05 (cinco) dias antecedente a sua necessidade.</w:t>
      </w:r>
    </w:p>
    <w:p w14:paraId="2C5543DE"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10.2 Efetuar o pagamento nas condições pactuadas.</w:t>
      </w:r>
    </w:p>
    <w:p w14:paraId="5E195DA9"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10.3 Notificar a Contratada relativamente a qualquer irregularidade encontrada no fornecimento dos Produtos/Serviços.</w:t>
      </w:r>
    </w:p>
    <w:p w14:paraId="0E2AF736"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10.4 O Município não será responsáveis por quaisquer ônus, direitos ou obrigações vinculadas à legislação trabalhista, tributárias ou securitárias decorrentes da execução do presente contrato, cujo cumprimento e responsabilidade caberão, exclusivamente, à Contratada.</w:t>
      </w:r>
    </w:p>
    <w:p w14:paraId="215A8BCA" w14:textId="77777777" w:rsidR="00EB1F16" w:rsidRDefault="00B8058E">
      <w:pPr>
        <w:spacing w:after="0" w:line="240" w:lineRule="auto"/>
        <w:jc w:val="both"/>
      </w:pPr>
      <w:r>
        <w:rPr>
          <w:noProof/>
        </w:rPr>
        <mc:AlternateContent>
          <mc:Choice Requires="wps">
            <w:drawing>
              <wp:inline distT="0" distB="0" distL="0" distR="0" wp14:anchorId="0E5B0780" wp14:editId="553B7B96">
                <wp:extent cx="5400675" cy="19685"/>
                <wp:effectExtent l="0" t="0" r="0" b="0"/>
                <wp:docPr id="11" name="Shape11"/>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1"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29B18E90"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XI – DAS OBRIGAÇÕES DA CONTRATADA</w:t>
      </w:r>
    </w:p>
    <w:p w14:paraId="1BB6FD69" w14:textId="77777777" w:rsidR="00EB1F16" w:rsidRDefault="00B8058E">
      <w:pPr>
        <w:spacing w:before="280" w:after="280" w:line="240" w:lineRule="auto"/>
        <w:jc w:val="both"/>
      </w:pPr>
      <w:r>
        <w:rPr>
          <w:rFonts w:ascii="Arial" w:eastAsia="Times New Roman" w:hAnsi="Arial" w:cs="Arial"/>
          <w:b/>
          <w:bCs/>
          <w:lang w:eastAsia="pt-BR"/>
        </w:rPr>
        <w:t>11.</w:t>
      </w:r>
      <w:r>
        <w:rPr>
          <w:rFonts w:ascii="Arial" w:eastAsia="Times New Roman" w:hAnsi="Arial" w:cs="Arial"/>
          <w:lang w:eastAsia="pt-BR"/>
        </w:rPr>
        <w:t xml:space="preserve"> Fornecer conforme prazo estipulado no edital e seus anexos, com material de qualidade conforme discriminado, nota fiscal e sem custo de frete.</w:t>
      </w:r>
    </w:p>
    <w:p w14:paraId="5624697A" w14:textId="77777777" w:rsidR="00EB1F16" w:rsidRDefault="00B8058E">
      <w:pPr>
        <w:spacing w:before="280" w:after="280" w:line="240" w:lineRule="auto"/>
        <w:jc w:val="both"/>
      </w:pPr>
      <w:r>
        <w:rPr>
          <w:rFonts w:ascii="Arial" w:eastAsia="Times New Roman" w:hAnsi="Arial" w:cs="Arial"/>
          <w:b/>
          <w:bCs/>
          <w:lang w:eastAsia="pt-BR"/>
        </w:rPr>
        <w:t>11.1.</w:t>
      </w:r>
      <w:r>
        <w:rPr>
          <w:rFonts w:ascii="Arial" w:eastAsia="Times New Roman" w:hAnsi="Arial" w:cs="Arial"/>
          <w:lang w:eastAsia="pt-BR"/>
        </w:rPr>
        <w:t xml:space="preserve"> Prestar garantia conforme Código de Defesa do Consumidor.</w:t>
      </w:r>
    </w:p>
    <w:p w14:paraId="4DEF6056" w14:textId="77777777" w:rsidR="00EB1F16" w:rsidRDefault="00B8058E">
      <w:pPr>
        <w:spacing w:after="0" w:line="240" w:lineRule="auto"/>
        <w:jc w:val="both"/>
      </w:pPr>
      <w:r>
        <w:rPr>
          <w:noProof/>
        </w:rPr>
        <mc:AlternateContent>
          <mc:Choice Requires="wps">
            <w:drawing>
              <wp:inline distT="0" distB="0" distL="0" distR="0" wp14:anchorId="66010B46" wp14:editId="511A57D7">
                <wp:extent cx="5400675" cy="19685"/>
                <wp:effectExtent l="0" t="0" r="0" b="0"/>
                <wp:docPr id="12" name="Shape12"/>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2"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734F961C"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lastRenderedPageBreak/>
        <w:t>CLÁUSULA XII – DAS DISPOSIÇÕES FINAIS</w:t>
      </w:r>
    </w:p>
    <w:p w14:paraId="3265EB9B" w14:textId="38D11875" w:rsidR="00EB1F16" w:rsidRDefault="00B8058E" w:rsidP="00741932">
      <w:pPr>
        <w:spacing w:before="280" w:after="280" w:line="268" w:lineRule="auto"/>
        <w:jc w:val="both"/>
      </w:pPr>
      <w:r>
        <w:rPr>
          <w:rFonts w:ascii="Arial" w:eastAsia="Times New Roman" w:hAnsi="Arial" w:cs="Arial"/>
          <w:b/>
          <w:bCs/>
          <w:lang w:eastAsia="pt-BR"/>
        </w:rPr>
        <w:t>12.</w:t>
      </w:r>
      <w:r>
        <w:rPr>
          <w:rFonts w:ascii="Arial" w:eastAsia="Times New Roman" w:hAnsi="Arial" w:cs="Arial"/>
          <w:lang w:eastAsia="pt-BR"/>
        </w:rPr>
        <w:t xml:space="preserve"> Integram esta Ata o Edital de Pregão Lei 14.133 Eletrônico</w:t>
      </w:r>
      <w:r w:rsidR="00741932">
        <w:t xml:space="preserve"> </w:t>
      </w:r>
      <w:r>
        <w:rPr>
          <w:rFonts w:ascii="Arial" w:eastAsia="Times New Roman" w:hAnsi="Arial" w:cs="Arial"/>
          <w:lang w:eastAsia="pt-BR"/>
        </w:rPr>
        <w:t xml:space="preserve">Nº. </w:t>
      </w:r>
      <w:r w:rsidR="00070A4F">
        <w:rPr>
          <w:rFonts w:ascii="Arial" w:eastAsia="Times New Roman" w:hAnsi="Arial" w:cs="Arial"/>
          <w:lang w:eastAsia="pt-BR"/>
        </w:rPr>
        <w:t>--</w:t>
      </w:r>
      <w:r>
        <w:rPr>
          <w:rFonts w:ascii="Arial" w:eastAsia="Times New Roman" w:hAnsi="Arial" w:cs="Arial"/>
          <w:lang w:eastAsia="pt-BR"/>
        </w:rPr>
        <w:t>/2025, o Termo de Referência e as propostas classificadas.</w:t>
      </w:r>
    </w:p>
    <w:p w14:paraId="0B0C7207"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12.1 Fica eleito o foro de Sapucaia do Sul - RS, para dirimir quaisquer questões decorrentes da utilização da presente Ata.</w:t>
      </w:r>
    </w:p>
    <w:p w14:paraId="777F2C6A" w14:textId="77777777" w:rsidR="00EB1F16" w:rsidRDefault="00B8058E">
      <w:pPr>
        <w:spacing w:after="0" w:line="240" w:lineRule="auto"/>
        <w:jc w:val="both"/>
      </w:pPr>
      <w:r>
        <w:rPr>
          <w:rFonts w:ascii="Arial" w:eastAsia="Times New Roman" w:hAnsi="Arial" w:cs="Arial"/>
          <w:bCs/>
          <w:lang w:eastAsia="pt-BR"/>
        </w:rPr>
        <w:t>12.2 Os casos omissos serão resolvidos de acordo com a Lei nº. 14.133/2021 e alterações, e demais normas aplicáveis.</w:t>
      </w:r>
      <w:r>
        <w:rPr>
          <w:noProof/>
        </w:rPr>
        <mc:AlternateContent>
          <mc:Choice Requires="wps">
            <w:drawing>
              <wp:inline distT="0" distB="0" distL="0" distR="0" wp14:anchorId="7AA8C405" wp14:editId="3774E9C1">
                <wp:extent cx="5400675" cy="19685"/>
                <wp:effectExtent l="0" t="0" r="0" b="0"/>
                <wp:docPr id="13" name="Shape13"/>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3"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64D7CF59" w14:textId="5D3876EB" w:rsidR="00EB1F16" w:rsidRDefault="00B8058E">
      <w:pPr>
        <w:spacing w:before="280" w:after="280" w:line="240" w:lineRule="auto"/>
        <w:ind w:left="708"/>
        <w:jc w:val="right"/>
      </w:pPr>
      <w:r>
        <w:rPr>
          <w:rFonts w:ascii="Arial" w:eastAsia="Times New Roman" w:hAnsi="Arial" w:cs="Arial"/>
          <w:lang w:eastAsia="pt-BR"/>
        </w:rPr>
        <w:t xml:space="preserve">Sapucaia do Sul, </w:t>
      </w:r>
      <w:r w:rsidR="00644264">
        <w:rPr>
          <w:rFonts w:ascii="Arial" w:eastAsia="Times New Roman" w:hAnsi="Arial" w:cs="Arial"/>
          <w:lang w:eastAsia="pt-BR"/>
        </w:rPr>
        <w:t>__</w:t>
      </w:r>
      <w:r>
        <w:rPr>
          <w:rFonts w:ascii="Arial" w:eastAsia="Times New Roman" w:hAnsi="Arial" w:cs="Arial"/>
          <w:lang w:eastAsia="pt-BR"/>
        </w:rPr>
        <w:t>/</w:t>
      </w:r>
      <w:r w:rsidR="00644264">
        <w:rPr>
          <w:rFonts w:ascii="Arial" w:eastAsia="Times New Roman" w:hAnsi="Arial" w:cs="Arial"/>
          <w:lang w:eastAsia="pt-BR"/>
        </w:rPr>
        <w:t>__</w:t>
      </w:r>
      <w:r>
        <w:rPr>
          <w:rFonts w:ascii="Arial" w:eastAsia="Times New Roman" w:hAnsi="Arial" w:cs="Arial"/>
          <w:lang w:eastAsia="pt-BR"/>
        </w:rPr>
        <w:t>/</w:t>
      </w:r>
      <w:r w:rsidR="00644264">
        <w:rPr>
          <w:rFonts w:ascii="Arial" w:eastAsia="Times New Roman" w:hAnsi="Arial" w:cs="Arial"/>
          <w:lang w:eastAsia="pt-BR"/>
        </w:rPr>
        <w:t>___</w:t>
      </w:r>
    </w:p>
    <w:p w14:paraId="463A7873" w14:textId="77777777" w:rsidR="00EB1F16" w:rsidRDefault="00EB1F16">
      <w:pPr>
        <w:spacing w:before="280" w:after="280" w:line="240" w:lineRule="auto"/>
        <w:jc w:val="both"/>
        <w:rPr>
          <w:rFonts w:ascii="Arial" w:eastAsia="Times New Roman" w:hAnsi="Arial" w:cs="Arial"/>
          <w:b/>
          <w:bCs/>
          <w:lang w:eastAsia="pt-BR"/>
        </w:rPr>
      </w:pPr>
    </w:p>
    <w:p w14:paraId="4C2BBBED" w14:textId="77777777" w:rsidR="00EB1F16" w:rsidRDefault="00EB1F16">
      <w:pPr>
        <w:spacing w:before="280" w:after="280" w:line="240" w:lineRule="auto"/>
        <w:jc w:val="both"/>
        <w:rPr>
          <w:rFonts w:ascii="Arial" w:eastAsia="Times New Roman" w:hAnsi="Arial" w:cs="Arial"/>
          <w:b/>
          <w:bCs/>
          <w:lang w:eastAsia="pt-BR"/>
        </w:rPr>
      </w:pPr>
    </w:p>
    <w:p w14:paraId="44D55F5E" w14:textId="77777777" w:rsidR="00EB1F16" w:rsidRDefault="00B8058E">
      <w:pPr>
        <w:spacing w:after="280" w:line="240" w:lineRule="auto"/>
        <w:jc w:val="center"/>
      </w:pPr>
      <w:r>
        <w:rPr>
          <w:noProof/>
        </w:rPr>
        <mc:AlternateContent>
          <mc:Choice Requires="wps">
            <w:drawing>
              <wp:inline distT="0" distB="0" distL="0" distR="0" wp14:anchorId="1B38675C" wp14:editId="5DE1EA85">
                <wp:extent cx="2581910" cy="13335"/>
                <wp:effectExtent l="0" t="0" r="0" b="0"/>
                <wp:docPr id="14" name="Shape14"/>
                <wp:cNvGraphicFramePr/>
                <a:graphic xmlns:a="http://schemas.openxmlformats.org/drawingml/2006/main">
                  <a:graphicData uri="http://schemas.microsoft.com/office/word/2010/wordprocessingShape">
                    <wps:wsp>
                      <wps:cNvSpPr/>
                      <wps:spPr>
                        <a:xfrm>
                          <a:off x="0" y="0"/>
                          <a:ext cx="2581200" cy="126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4" fillcolor="#a0a0a0" stroked="f" style="position:absolute;margin-left:0pt;margin-top:0pt;width:203.2pt;height:0.95pt;mso-wrap-style:none;v-text-anchor:middle;mso-position-horizontal-relative:char">
                <v:fill o:detectmouseclick="t" type="solid" color2="#5f5f5f"/>
                <v:stroke color="#3465a4" joinstyle="round" endcap="flat"/>
                <w10:wrap type="none"/>
              </v:rect>
            </w:pict>
          </mc:Fallback>
        </mc:AlternateContent>
      </w:r>
    </w:p>
    <w:p w14:paraId="48B8850C" w14:textId="77777777" w:rsidR="00EB1F16" w:rsidRDefault="00B8058E">
      <w:pPr>
        <w:spacing w:before="280" w:after="280" w:line="240" w:lineRule="auto"/>
        <w:jc w:val="center"/>
      </w:pPr>
      <w:r>
        <w:rPr>
          <w:rFonts w:ascii="Arial" w:eastAsia="Times New Roman" w:hAnsi="Arial" w:cs="Arial"/>
          <w:b/>
          <w:bCs/>
          <w:lang w:eastAsia="pt-BR"/>
        </w:rPr>
        <w:t>MUNICÍPIO DE SAPUCAIA DO SUL</w:t>
      </w:r>
      <w:r>
        <w:rPr>
          <w:rFonts w:ascii="Arial" w:eastAsia="Times New Roman" w:hAnsi="Arial" w:cs="Arial"/>
          <w:lang w:eastAsia="pt-BR"/>
        </w:rPr>
        <w:br/>
        <w:t>Contratante</w:t>
      </w:r>
    </w:p>
    <w:p w14:paraId="69D4E66A" w14:textId="77777777" w:rsidR="00EB1F16" w:rsidRDefault="00EB1F16">
      <w:pPr>
        <w:spacing w:before="280" w:after="280" w:line="240" w:lineRule="auto"/>
        <w:jc w:val="center"/>
        <w:rPr>
          <w:rFonts w:ascii="Arial" w:eastAsia="Times New Roman" w:hAnsi="Arial" w:cs="Arial"/>
          <w:lang w:eastAsia="pt-BR"/>
        </w:rPr>
      </w:pPr>
    </w:p>
    <w:p w14:paraId="27984E2C" w14:textId="77777777" w:rsidR="00EB1F16" w:rsidRDefault="00EB1F16">
      <w:pPr>
        <w:spacing w:after="0" w:line="240" w:lineRule="auto"/>
        <w:jc w:val="center"/>
        <w:rPr>
          <w:rFonts w:ascii="Arial" w:eastAsia="Times New Roman" w:hAnsi="Arial" w:cs="Arial"/>
          <w:lang w:eastAsia="pt-BR"/>
        </w:rPr>
      </w:pPr>
    </w:p>
    <w:p w14:paraId="18FBA369" w14:textId="77777777" w:rsidR="00EB1F16" w:rsidRDefault="00EB1F16">
      <w:pPr>
        <w:spacing w:after="0" w:line="240" w:lineRule="auto"/>
        <w:jc w:val="center"/>
        <w:rPr>
          <w:rFonts w:ascii="Arial" w:eastAsia="Times New Roman" w:hAnsi="Arial" w:cs="Arial"/>
          <w:lang w:eastAsia="pt-BR"/>
        </w:rPr>
      </w:pPr>
    </w:p>
    <w:p w14:paraId="08B8BA2E" w14:textId="77777777" w:rsidR="00EB1F16" w:rsidRDefault="00B8058E">
      <w:pPr>
        <w:spacing w:after="0" w:line="240" w:lineRule="auto"/>
        <w:jc w:val="center"/>
      </w:pPr>
      <w:r>
        <w:rPr>
          <w:noProof/>
        </w:rPr>
        <mc:AlternateContent>
          <mc:Choice Requires="wps">
            <w:drawing>
              <wp:inline distT="0" distB="0" distL="0" distR="0" wp14:anchorId="3EEECFB3" wp14:editId="6AA2E8A1">
                <wp:extent cx="1971675" cy="13335"/>
                <wp:effectExtent l="0" t="0" r="0" b="0"/>
                <wp:docPr id="15" name="Shape15"/>
                <wp:cNvGraphicFramePr/>
                <a:graphic xmlns:a="http://schemas.openxmlformats.org/drawingml/2006/main">
                  <a:graphicData uri="http://schemas.microsoft.com/office/word/2010/wordprocessingShape">
                    <wps:wsp>
                      <wps:cNvSpPr/>
                      <wps:spPr>
                        <a:xfrm>
                          <a:off x="0" y="0"/>
                          <a:ext cx="1971000" cy="126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5" fillcolor="#a0a0a0" stroked="f" style="position:absolute;margin-left:0pt;margin-top:0pt;width:155.15pt;height:0.95pt;mso-wrap-style:none;v-text-anchor:middle;mso-position-horizontal-relative:char">
                <v:fill o:detectmouseclick="t" type="solid" color2="#5f5f5f"/>
                <v:stroke color="#3465a4" joinstyle="round" endcap="flat"/>
                <w10:wrap type="none"/>
              </v:rect>
            </w:pict>
          </mc:Fallback>
        </mc:AlternateContent>
      </w:r>
      <w:r>
        <w:rPr>
          <w:rFonts w:ascii="Arial" w:eastAsia="Times New Roman" w:hAnsi="Arial" w:cs="Arial"/>
          <w:b/>
          <w:bCs/>
          <w:lang w:eastAsia="pt-BR"/>
        </w:rPr>
        <w:t>Contratada</w:t>
      </w:r>
    </w:p>
    <w:sectPr w:rsidR="00EB1F16">
      <w:headerReference w:type="default" r:id="rId7"/>
      <w:headerReference w:type="first" r:id="rId8"/>
      <w:pgSz w:w="11906" w:h="16838"/>
      <w:pgMar w:top="1417" w:right="1701" w:bottom="1417" w:left="1701"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EE02" w14:textId="77777777" w:rsidR="00B92DE7" w:rsidRDefault="00B92DE7">
      <w:pPr>
        <w:spacing w:after="0" w:line="240" w:lineRule="auto"/>
      </w:pPr>
      <w:r>
        <w:separator/>
      </w:r>
    </w:p>
  </w:endnote>
  <w:endnote w:type="continuationSeparator" w:id="0">
    <w:p w14:paraId="5AF4B6AE" w14:textId="77777777" w:rsidR="00B92DE7" w:rsidRDefault="00B9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1086" w14:textId="77777777" w:rsidR="00B92DE7" w:rsidRDefault="00B92DE7">
      <w:pPr>
        <w:spacing w:after="0" w:line="240" w:lineRule="auto"/>
      </w:pPr>
      <w:r>
        <w:separator/>
      </w:r>
    </w:p>
  </w:footnote>
  <w:footnote w:type="continuationSeparator" w:id="0">
    <w:p w14:paraId="3A2F8F0B" w14:textId="77777777" w:rsidR="00B92DE7" w:rsidRDefault="00B92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5BFB" w14:textId="77777777" w:rsidR="00EB1F16" w:rsidRDefault="00EB1F1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94" w:type="dxa"/>
      <w:tblInd w:w="306" w:type="dxa"/>
      <w:tblLayout w:type="fixed"/>
      <w:tblCellMar>
        <w:left w:w="0" w:type="dxa"/>
        <w:right w:w="0" w:type="dxa"/>
      </w:tblCellMar>
      <w:tblLook w:val="04A0" w:firstRow="1" w:lastRow="0" w:firstColumn="1" w:lastColumn="0" w:noHBand="0" w:noVBand="1"/>
    </w:tblPr>
    <w:tblGrid>
      <w:gridCol w:w="1146"/>
      <w:gridCol w:w="5348"/>
    </w:tblGrid>
    <w:tr w:rsidR="00EB1F16" w14:paraId="40931CB2" w14:textId="77777777">
      <w:trPr>
        <w:trHeight w:val="1454"/>
      </w:trPr>
      <w:tc>
        <w:tcPr>
          <w:tcW w:w="1146" w:type="dxa"/>
          <w:tcBorders>
            <w:bottom w:val="double" w:sz="6" w:space="0" w:color="000000"/>
          </w:tcBorders>
        </w:tcPr>
        <w:p w14:paraId="5169226F" w14:textId="77777777" w:rsidR="00EB1F16" w:rsidRDefault="00B8058E">
          <w:pPr>
            <w:widowControl w:val="0"/>
          </w:pPr>
          <w:r>
            <w:rPr>
              <w:noProof/>
            </w:rPr>
            <mc:AlternateContent>
              <mc:Choice Requires="wps">
                <w:drawing>
                  <wp:anchor distT="0" distB="0" distL="114935" distR="114935" simplePos="0" relativeHeight="18" behindDoc="1" locked="0" layoutInCell="1" allowOverlap="1" wp14:anchorId="05081EF2" wp14:editId="2397D11B">
                    <wp:simplePos x="0" y="0"/>
                    <wp:positionH relativeFrom="column">
                      <wp:posOffset>635</wp:posOffset>
                    </wp:positionH>
                    <wp:positionV relativeFrom="paragraph">
                      <wp:posOffset>5080</wp:posOffset>
                    </wp:positionV>
                    <wp:extent cx="635635" cy="630555"/>
                    <wp:effectExtent l="0" t="0" r="0" b="0"/>
                    <wp:wrapNone/>
                    <wp:docPr id="16" name="Shape1"/>
                    <wp:cNvGraphicFramePr/>
                    <a:graphic xmlns:a="http://schemas.openxmlformats.org/drawingml/2006/main">
                      <a:graphicData uri="http://schemas.microsoft.com/office/word/2010/wordprocessingShape">
                        <wps:wsp>
                          <wps:cNvSpPr/>
                          <wps:spPr>
                            <a:xfrm>
                              <a:off x="0" y="0"/>
                              <a:ext cx="635040" cy="630000"/>
                            </a:xfrm>
                            <a:prstGeom prst="rect">
                              <a:avLst/>
                            </a:prstGeom>
                            <a:noFill/>
                            <a:ln w="0">
                              <a:noFill/>
                            </a:ln>
                          </wps:spPr>
                          <wps:bodyPr/>
                        </wps:wsp>
                      </a:graphicData>
                    </a:graphic>
                  </wp:anchor>
                </w:drawing>
              </mc:Choice>
              <mc:Fallback>
                <w:pict>
                  <v:rect id="shape_0" ID="Shape1" stroked="f" style="position:absolute;margin-left:0.05pt;margin-top:0.4pt;width:49.95pt;height:49.55pt;mso-wrap-style:none;v-text-anchor:middle">
                    <v:fill o:detectmouseclick="t" on="false"/>
                    <v:stroke color="#3465a4" joinstyle="round" endcap="flat"/>
                    <w10:wrap type="none"/>
                  </v:rect>
                </w:pict>
              </mc:Fallback>
            </mc:AlternateContent>
          </w:r>
          <w:r>
            <w:rPr>
              <w:noProof/>
            </w:rPr>
            <w:drawing>
              <wp:inline distT="0" distB="0" distL="0" distR="0" wp14:anchorId="123DAC36" wp14:editId="63045E52">
                <wp:extent cx="609600" cy="638175"/>
                <wp:effectExtent l="0" t="0" r="0" b="0"/>
                <wp:docPr id="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pic:cNvPicPr>
                          <a:picLocks noChangeAspect="1" noChangeArrowheads="1"/>
                        </pic:cNvPicPr>
                      </pic:nvPicPr>
                      <pic:blipFill>
                        <a:blip r:embed="rId1"/>
                        <a:srcRect l="-59" t="-47" r="-59" b="-47"/>
                        <a:stretch>
                          <a:fillRect/>
                        </a:stretch>
                      </pic:blipFill>
                      <pic:spPr bwMode="auto">
                        <a:xfrm>
                          <a:off x="0" y="0"/>
                          <a:ext cx="609600" cy="638175"/>
                        </a:xfrm>
                        <a:prstGeom prst="rect">
                          <a:avLst/>
                        </a:prstGeom>
                      </pic:spPr>
                    </pic:pic>
                  </a:graphicData>
                </a:graphic>
              </wp:inline>
            </w:drawing>
          </w:r>
        </w:p>
      </w:tc>
      <w:tc>
        <w:tcPr>
          <w:tcW w:w="5348" w:type="dxa"/>
          <w:tcBorders>
            <w:bottom w:val="double" w:sz="6" w:space="0" w:color="000000"/>
          </w:tcBorders>
        </w:tcPr>
        <w:p w14:paraId="495ACBBF" w14:textId="77777777" w:rsidR="00EB1F16" w:rsidRDefault="00B8058E">
          <w:pPr>
            <w:widowControl w:val="0"/>
            <w:jc w:val="center"/>
            <w:rPr>
              <w:rFonts w:ascii="Arial" w:eastAsia="Arial" w:hAnsi="Arial" w:cs="Arial"/>
              <w:b/>
              <w:bCs/>
              <w:color w:val="000000"/>
            </w:rPr>
          </w:pPr>
          <w:r>
            <w:rPr>
              <w:rFonts w:ascii="Arial" w:eastAsia="Arial" w:hAnsi="Arial" w:cs="Arial"/>
              <w:b/>
              <w:bCs/>
              <w:color w:val="000000"/>
            </w:rPr>
            <w:t>MUNICÍPIO DE SAPUCAIA DO SUL</w:t>
          </w:r>
        </w:p>
        <w:p w14:paraId="3B474CE8" w14:textId="77777777" w:rsidR="00EB1F16" w:rsidRDefault="00B8058E">
          <w:pPr>
            <w:widowControl w:val="0"/>
            <w:jc w:val="center"/>
            <w:rPr>
              <w:rFonts w:ascii="Arial" w:eastAsia="Arial" w:hAnsi="Arial" w:cs="Arial"/>
              <w:color w:val="000000"/>
            </w:rPr>
          </w:pPr>
          <w:r>
            <w:rPr>
              <w:rFonts w:ascii="Arial" w:eastAsia="Arial" w:hAnsi="Arial" w:cs="Arial"/>
              <w:color w:val="000000"/>
            </w:rPr>
            <w:t xml:space="preserve">Diretoria de Compras e licitações </w:t>
          </w:r>
        </w:p>
        <w:p w14:paraId="395E370D" w14:textId="77777777" w:rsidR="00EB1F16" w:rsidRDefault="00B8058E">
          <w:pPr>
            <w:widowControl w:val="0"/>
            <w:jc w:val="center"/>
            <w:rPr>
              <w:rFonts w:ascii="Arial" w:eastAsia="Arial" w:hAnsi="Arial" w:cs="Arial"/>
              <w:color w:val="000000"/>
            </w:rPr>
          </w:pPr>
          <w:r>
            <w:rPr>
              <w:rFonts w:ascii="Arial" w:eastAsia="Arial" w:hAnsi="Arial" w:cs="Arial"/>
              <w:color w:val="000000"/>
            </w:rPr>
            <w:t xml:space="preserve"> Diretoria de Contratos</w:t>
          </w:r>
        </w:p>
        <w:p w14:paraId="6E72AE3C" w14:textId="77777777" w:rsidR="00EB1F16" w:rsidRDefault="00EB1F16">
          <w:pPr>
            <w:widowControl w:val="0"/>
            <w:spacing w:line="0" w:lineRule="atLeast"/>
          </w:pPr>
        </w:p>
      </w:tc>
    </w:tr>
  </w:tbl>
  <w:p w14:paraId="66C0BDE4" w14:textId="77777777" w:rsidR="00EB1F16" w:rsidRDefault="00EB1F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04FD"/>
    <w:multiLevelType w:val="multilevel"/>
    <w:tmpl w:val="3D902E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56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16"/>
    <w:rsid w:val="00042759"/>
    <w:rsid w:val="00070A4F"/>
    <w:rsid w:val="00117891"/>
    <w:rsid w:val="00164AD8"/>
    <w:rsid w:val="00644264"/>
    <w:rsid w:val="00741932"/>
    <w:rsid w:val="00744A60"/>
    <w:rsid w:val="009B3D3E"/>
    <w:rsid w:val="009E4C5A"/>
    <w:rsid w:val="00B77D34"/>
    <w:rsid w:val="00B8058E"/>
    <w:rsid w:val="00B92DE7"/>
    <w:rsid w:val="00C157AE"/>
    <w:rsid w:val="00EB1F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50D3"/>
  <w15:docId w15:val="{18827C7A-D0E1-4C70-A388-A8FFE4F2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kern w:val="0"/>
      <w:sz w:val="22"/>
      <w:szCs w:val="22"/>
      <w:lang w:eastAsia="en-US" w:bidi="ar-SA"/>
    </w:rPr>
  </w:style>
  <w:style w:type="paragraph" w:styleId="Ttulo3">
    <w:name w:val="heading 3"/>
    <w:basedOn w:val="Normal"/>
    <w:next w:val="Corpodetexto"/>
    <w:uiPriority w:val="9"/>
    <w:semiHidden/>
    <w:unhideWhenUsed/>
    <w:qFormat/>
    <w:pPr>
      <w:numPr>
        <w:ilvl w:val="2"/>
        <w:numId w:val="1"/>
      </w:numPr>
      <w:spacing w:before="280" w:after="280"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customStyle="1" w:styleId="Ttulo3Char">
    <w:name w:val="Título 3 Char"/>
    <w:basedOn w:val="Fontepargpadro"/>
    <w:qFormat/>
    <w:rPr>
      <w:rFonts w:ascii="Times New Roman" w:eastAsia="Times New Roman" w:hAnsi="Times New Roman" w:cs="Times New Roman"/>
      <w:b/>
      <w:bCs/>
      <w:sz w:val="27"/>
      <w:szCs w:val="27"/>
      <w:lang w:eastAsia="pt-BR"/>
    </w:rPr>
  </w:style>
  <w:style w:type="paragraph" w:customStyle="1" w:styleId="Heading">
    <w:name w:val="Heading"/>
    <w:basedOn w:val="Normal"/>
    <w:next w:val="Corpodetexto"/>
    <w:qFormat/>
    <w:pPr>
      <w:keepNext/>
      <w:spacing w:before="240" w:after="120"/>
    </w:pPr>
    <w:rPr>
      <w:rFonts w:ascii="Liberation Sans;Arial" w:eastAsia="DejaVu Sans" w:hAnsi="Liberation Sans;Arial" w:cs="DejaVu Sans"/>
      <w:sz w:val="28"/>
      <w:szCs w:val="28"/>
    </w:rPr>
  </w:style>
  <w:style w:type="paragraph" w:styleId="Corpodetexto">
    <w:name w:val="Body Text"/>
    <w:basedOn w:val="Normal"/>
    <w:pPr>
      <w:spacing w:after="14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qFormat/>
    <w:pPr>
      <w:spacing w:before="280" w:after="280" w:line="240" w:lineRule="auto"/>
    </w:pPr>
    <w:rPr>
      <w:rFonts w:ascii="Times New Roman" w:eastAsia="Times New Roman" w:hAnsi="Times New Roman"/>
      <w:sz w:val="24"/>
      <w:szCs w:val="24"/>
      <w:lang w:eastAsia="pt-BR"/>
    </w:rPr>
  </w:style>
  <w:style w:type="paragraph" w:customStyle="1" w:styleId="HeaderandFooter">
    <w:name w:val="Header and Footer"/>
    <w:basedOn w:val="Normal"/>
    <w:qFormat/>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styleId="Textodebalo">
    <w:name w:val="Balloon Text"/>
    <w:basedOn w:val="Normal"/>
    <w:qFormat/>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1598</Words>
  <Characters>8634</Characters>
  <Application>Microsoft Office Word</Application>
  <DocSecurity>0</DocSecurity>
  <Lines>71</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Petry</cp:lastModifiedBy>
  <cp:revision>7</cp:revision>
  <dcterms:created xsi:type="dcterms:W3CDTF">2025-08-25T19:35:00Z</dcterms:created>
  <dcterms:modified xsi:type="dcterms:W3CDTF">2025-10-20T17:31:00Z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2025-08-01T20:24:00Z</dcterms:created>
  <dc:creator>bruno.pacheco</dc:creator>
  <dc:description/>
  <dc:language>pt-BR</dc:language>
  <cp:lastModifiedBy>bruno.pacheco</cp:lastModifiedBy>
  <cp:lastPrinted>2025-08-07T17:53:00Z</cp:lastPrinted>
  <dcterms:modified xsi:type="dcterms:W3CDTF">2025-08-11T16:46:00Z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207E229C632342AC8FC9BF35E2065D95_12</vt:lpwstr>
  </property>
  <property fmtid="{D5CDD505-2E9C-101B-9397-08002B2CF9AE}" pid="3" name="KSOProductBuildVer">
    <vt:lpwstr>1046-12.2.0.21931</vt:lpwstr>
  </property>
</Properties>
</file>